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Fiche projet</w:t>
      </w:r>
    </w:p>
    <w:p>
      <w:r>
        <w:rPr>
          <w:color w:val="716E67"/>
          <w:sz w:val="20"/>
        </w:rPr>
        <w:t>Terrain, commune, accès, budget et calendrier</w:t>
      </w:r>
    </w:p>
    <w:p>
      <w:r>
        <w:t>À remplir avant toute commande, y compris avant la remorque. Tant qu'une ligne reste vide, le projet n'est pas prêt à démarrer.</w:t>
      </w:r>
    </w:p>
    <w:p>
      <w:pPr>
        <w:spacing w:before="280" w:after="120"/>
      </w:pPr>
      <w:r>
        <w:rPr>
          <w:b/>
          <w:color w:val="1A3C2A"/>
          <w:sz w:val="23"/>
        </w:rPr>
        <w:t>Identification du projet</w:t>
      </w:r>
    </w:p>
    <w:p>
      <w:pPr>
        <w:spacing w:after="40"/>
      </w:pPr>
      <w:r>
        <w:rPr>
          <w:color w:val="716E67"/>
          <w:sz w:val="17"/>
        </w:rPr>
        <w:t>Nom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Date de remplissage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Commune envisagée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Canton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Nombre d'occupants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Usage : résidence principale, secondaire, bureau, autre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Longueur et largeur visées (cm)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280" w:after="120"/>
      </w:pPr>
      <w:r>
        <w:rPr>
          <w:b/>
          <w:color w:val="1A3C2A"/>
          <w:sz w:val="23"/>
        </w:rPr>
        <w:t>Document 1 — Parcelle</w:t>
      </w:r>
    </w:p>
    <w:p>
      <w:pPr>
        <w:spacing w:after="40"/>
      </w:pPr>
      <w:r>
        <w:rPr>
          <w:color w:val="716E67"/>
          <w:sz w:val="17"/>
        </w:rPr>
        <w:t>Numéro de parcelle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Propriétaire du terrain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Zone : à bâtir, agricole, intermédiaire, autre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Vérifié sur le géoportail cantonal le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Vérifié sur le cadastre RDPPF le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Distance aux limites exigée (m)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Distance à la forêt (m)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Zone de protection des eaux : oui / non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Raccordements à moins de 30 m : eau, électricité, évacuation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Servitudes, alignements ou restrictions relevés</w:t>
      </w:r>
    </w:p>
    <w:p>
      <w:pPr>
        <w:spacing w:after="200" w:before="160"/>
        <w:pBdr>
          <w:bottom w:val="single" w:sz="4" w:space="1" w:color="D5D2CA"/>
        </w:pBdr>
      </w:pPr>
    </w:p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Document 2 — Consultation de la commune</w:t>
      </w:r>
    </w:p>
    <w:p>
      <w:pPr>
        <w:spacing w:after="40"/>
      </w:pPr>
      <w:r>
        <w:rPr>
          <w:color w:val="716E67"/>
          <w:sz w:val="17"/>
        </w:rPr>
        <w:t>Service contacté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Personne rencontrée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Date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Moyen : téléphone, courriel, guichet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— Une habitation sur remorque, posée à demeure sur cette parcelle, est-elle envisageable ?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— Quelle procédure : autorisation ordinaire, procédure simplifiée, autre ?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— Quelles pièces demandez-vous au dépôt ?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— Quelles distances aux limites, et comment mesurez-vous la hauteur ?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— Mise à l'enquête publique nécessaire ? Durée ?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— Traitement des eaux usées : raccordement obligatoire ou autre solution ?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— Délai constaté entre le dépôt et la décision ?</w:t>
      </w:r>
    </w:p>
    <w:p>
      <w:pPr>
        <w:spacing w:after="200" w:before="160"/>
        <w:pBdr>
          <w:bottom w:val="single" w:sz="4" w:space="1" w:color="D5D2CA"/>
        </w:pBdr>
      </w:pPr>
    </w:p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Document 3 — Accès</w:t>
      </w:r>
    </w:p>
    <w:p>
      <w:r>
        <w:rPr>
          <w:i/>
          <w:color w:val="716E67"/>
          <w:sz w:val="16"/>
        </w:rPr>
        <w:t>À mesurer sur tout le trajet depuis la dernière route cantonale, mètre en main.</w:t>
      </w:r>
    </w:p>
    <w:p>
      <w:pPr>
        <w:spacing w:after="40"/>
      </w:pPr>
      <w:r>
        <w:rPr>
          <w:color w:val="716E67"/>
          <w:sz w:val="17"/>
        </w:rPr>
        <w:t>Largeur la plus étroite (cm)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Où se trouve ce rétrécissement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Hauteur libre la plus basse (cm)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Rayon du virage le plus serré (m)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Pente maximale (%)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Nature du sol : goudron, gravier, herbe, terre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Place de dépose : longueur et largeur (m)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Le véhicule tracteur peut repartir : oui / non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280" w:after="120"/>
      </w:pPr>
      <w:r>
        <w:rPr>
          <w:b/>
          <w:color w:val="1A3C2A"/>
          <w:sz w:val="23"/>
        </w:rPr>
        <w:t>Décision de conception</w:t>
      </w:r>
    </w:p>
    <w:p>
      <w:pPr>
        <w:spacing w:after="120"/>
      </w:pPr>
      <w:r>
        <w:rPr>
          <w:sz w:val="24"/>
        </w:rPr>
        <w:t xml:space="preserve">☐  </w:t>
      </w:r>
      <w:r>
        <w:t>Routière : largeur finie 250 cm visés (255 cm au maximum légal), hauteur totale 400 cm au maximum</w:t>
      </w:r>
    </w:p>
    <w:p>
      <w:pPr>
        <w:spacing w:after="120"/>
      </w:pPr>
      <w:r>
        <w:rPr>
          <w:sz w:val="24"/>
        </w:rPr>
        <w:t xml:space="preserve">☐  </w:t>
      </w:r>
      <w:r>
        <w:t>Transportable une fois : largeur supérieure, convoi spécial à chaque déplacement</w:t>
      </w:r>
    </w:p>
    <w:p>
      <w:pPr>
        <w:spacing w:before="280" w:after="120"/>
      </w:pPr>
      <w:r>
        <w:rPr>
          <w:b/>
          <w:color w:val="1A3C2A"/>
          <w:sz w:val="23"/>
        </w:rPr>
        <w:t>Croquis de l'accès : portail, virages, obstacles, place de dépose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5216"/>
        </w:trPr>
        <w:tc>
          <w:tcPr>
            <w:tcW w:type="dxa" w:w="9638"/>
          </w:tcPr>
          <w:p>
            <w:r/>
          </w:p>
        </w:tc>
      </w:tr>
    </w:tbl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Document 4 — Budget par lots</w:t>
      </w:r>
    </w:p>
    <w:p>
      <w:r>
        <w:rPr>
          <w:i/>
          <w:color w:val="716E67"/>
          <w:sz w:val="16"/>
        </w:rPr>
        <w:t>Fourchettes indicatives pour une maison d'environ sept mètres, matériaux au prix public en Suisse, TVA comprise. Votre temps n'est pas compté.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Lot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Basse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Haute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Mon estimation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Réel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Remorque homologuée, ou plots et plateforme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5 500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9 000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Plancher : structure, isolation, sous-face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1 000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1 800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Ossature murs et toiture, contreventement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2 500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4 500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Couverture et ferblanterie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1 800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3 500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Pare-pluie, lame d'air, bardage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1 800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3 200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Fenêtres et porte d'entrée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3 000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6 000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Isolation des murs et du toit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1 300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2 800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Frein-vapeur, adhésifs, manchons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500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1 000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Électricité : matériel et entreprise autorisée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2 500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4 500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Plomberie : matériel et installateur agréé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1 500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3 000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Chauffage : pompe à chaleur ou poêle et conduit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2 500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6 500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Ventilation double flux compacte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1 200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3 000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Second œuvre : cloisons, sols, parements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2 000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4 500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Cuisine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1 500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5 000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Salle d'eau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1 200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3 500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Outillage, consommables, location, déchetterie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1 200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2 500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b/>
                <w:sz w:val="16"/>
              </w:rPr>
              <w:t>Total, en francs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31 000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64 000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b/>
                <w:sz w:val="16"/>
              </w:rPr>
              <w:t>Réserve de 10 % au minimum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</w:tbl>
    <w:p>
      <w:r>
        <w:rPr>
          <w:i/>
          <w:color w:val="716E67"/>
          <w:sz w:val="16"/>
        </w:rPr>
        <w:t>Ne sont comptés ni les frais d'autorisation, ni le raccordement au réseau : ils dépendent entièrement de la commune.</w:t>
      </w:r>
    </w:p>
    <w:p>
      <w:pPr>
        <w:spacing w:before="280" w:after="120"/>
      </w:pPr>
      <w:r>
        <w:rPr>
          <w:b/>
          <w:color w:val="1A3C2A"/>
          <w:sz w:val="23"/>
        </w:rPr>
        <w:t>Notes sur le budget</w:t>
      </w: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Document 5 — Calendrier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Étape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Durée courante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Début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Fin</w:t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Vérification du terrain et consultation de la commune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  <w:t>2 à 6 semaines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Plans et constitution du dossier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  <w:t>3 à 8 semaines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Procédure d'autorisation, enquête comprise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  <w:t>6 à 16 semaines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Commande de la remorque et des menuiseries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  <w:t>4 à 12 semaines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Gros œuvre : plancher, ossature, toiture, bardage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  <w:t>6 à 12 semaines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Second œuvre et finitions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  <w:t>8 à 20 semaines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Raccordements, contrôles, emménagement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  <w:t>2 à 6 semaines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Entreprises à réserver tôt</w:t>
      </w:r>
    </w:p>
    <w:p>
      <w:pPr>
        <w:spacing w:after="40"/>
      </w:pPr>
      <w:r>
        <w:rPr>
          <w:color w:val="716E67"/>
          <w:sz w:val="17"/>
        </w:rPr>
        <w:t>Entreprise électrique autorisée (OIBT), et date de réservation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Installateur sanitaire agréé (SSIGE), et date de réservation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Poêle homologué AEAI : fournisseur et ramoneur officiel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280" w:after="120"/>
      </w:pPr>
      <w:r>
        <w:rPr>
          <w:b/>
          <w:color w:val="1A3C2A"/>
          <w:sz w:val="23"/>
        </w:rPr>
        <w:t>Contrôle GO / STOP</w:t>
      </w:r>
    </w:p>
    <w:p>
      <w:pPr>
        <w:spacing w:after="120"/>
      </w:pPr>
      <w:r>
        <w:rPr>
          <w:sz w:val="24"/>
        </w:rPr>
        <w:t xml:space="preserve">☐  </w:t>
      </w:r>
      <w:r>
        <w:t>Le terrain est identifié, et son affectation vérifiée sur le géoportail et le cadastre RDPPF.</w:t>
      </w:r>
    </w:p>
    <w:p>
      <w:pPr>
        <w:spacing w:after="120"/>
      </w:pPr>
      <w:r>
        <w:rPr>
          <w:sz w:val="24"/>
        </w:rPr>
        <w:t xml:space="preserve">☐  </w:t>
      </w:r>
      <w:r>
        <w:t>La commune a été consultée, et sa réponse est notée avec le nom et la date.</w:t>
      </w:r>
    </w:p>
    <w:p>
      <w:pPr>
        <w:spacing w:after="120"/>
      </w:pPr>
      <w:r>
        <w:rPr>
          <w:sz w:val="24"/>
        </w:rPr>
        <w:t xml:space="preserve">☐  </w:t>
      </w:r>
      <w:r>
        <w:t>La procédure d'autorisation et les pièces demandées sont connues.</w:t>
      </w:r>
    </w:p>
    <w:p>
      <w:pPr>
        <w:spacing w:after="120"/>
      </w:pPr>
      <w:r>
        <w:rPr>
          <w:sz w:val="24"/>
        </w:rPr>
        <w:t xml:space="preserve">☐  </w:t>
      </w:r>
      <w:r>
        <w:t>L'accès a été mesuré : largeur, hauteur, virage, pente, place de dépose.</w:t>
      </w:r>
    </w:p>
    <w:p>
      <w:pPr>
        <w:spacing w:after="120"/>
      </w:pPr>
      <w:r>
        <w:rPr>
          <w:sz w:val="24"/>
        </w:rPr>
        <w:t xml:space="preserve">☐  </w:t>
      </w:r>
      <w:r>
        <w:t>Le choix entre routière et transportable est arrêté, et la largeur en découle.</w:t>
      </w:r>
    </w:p>
    <w:p>
      <w:pPr>
        <w:spacing w:after="120"/>
      </w:pPr>
      <w:r>
        <w:rPr>
          <w:sz w:val="24"/>
        </w:rPr>
        <w:t xml:space="preserve">☐  </w:t>
      </w:r>
      <w:r>
        <w:t>Le budget est réparti par lots, avec une réserve d'au moins dix pour cent.</w:t>
      </w:r>
    </w:p>
    <w:p>
      <w:pPr>
        <w:spacing w:after="120"/>
      </w:pPr>
      <w:r>
        <w:rPr>
          <w:sz w:val="24"/>
        </w:rPr>
        <w:t xml:space="preserve">☐  </w:t>
      </w:r>
      <w:r>
        <w:t>Le mode de chauffage est décidé, et compatible avec les règles cantonales.</w:t>
      </w:r>
    </w:p>
    <w:p>
      <w:pPr>
        <w:spacing w:after="120"/>
      </w:pPr>
      <w:r>
        <w:rPr>
          <w:sz w:val="24"/>
        </w:rPr>
        <w:t xml:space="preserve">☐  </w:t>
      </w:r>
      <w:r>
        <w:t>L'entreprise électrique autorisée et l'installateur sanitaire sont identifiés.</w:t>
      </w:r>
    </w:p>
    <w:p>
      <w:r>
        <w:rPr>
          <w:b/>
          <w:color w:val="1A3C2A"/>
        </w:rPr>
        <w:t>Huit cases cochées : vous pouvez commander. Une seule case vide : traitez-la d'abord.</w:t>
      </w:r>
    </w:p>
    <w:p>
      <w:pPr>
        <w:spacing w:before="280" w:after="120"/>
      </w:pPr>
      <w:r>
        <w:rPr>
          <w:b/>
          <w:color w:val="1A3C2A"/>
          <w:sz w:val="23"/>
        </w:rPr>
        <w:t>Décisions et points ouverts</w:t>
      </w: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320"/>
      </w:pPr>
      <w:r>
        <w:rPr>
          <w:color w:val="716E67"/>
          <w:sz w:val="15"/>
        </w:rPr>
        <w:t>Document préparé par Tiny House Suisse — reproduction libre pour usage personnel.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THS-01 · Fiche projet · Tiny House Suisse — Guide d'autoconstruction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THS-01    </w:t>
    </w:r>
    <w:r>
      <w:rPr>
        <w:color w:val="716E67"/>
        <w:sz w:val="16"/>
      </w:rPr>
      <w:t>Chapitre 1 — Avant de commencer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