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Feuille de débit du plancher</w:t>
      </w:r>
    </w:p>
    <w:p>
      <w:r>
        <w:rPr>
          <w:color w:val="716E67"/>
          <w:sz w:val="20"/>
        </w:rPr>
        <w:t>Pièces, sections, longueurs et poids</w:t>
      </w:r>
    </w:p>
    <w:p>
      <w:r>
        <w:t>Une ligne par pièce à couper. La dernière colonne remonte dans le tableau des poids THS-03A : c’est le même chiffre, saisi une seule fois.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Pièce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Section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Qté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totale (kg)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Rive avant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Rive arrière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Rive gauche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Rive droite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S1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Solives courantes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S2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Solives de renfort sous charge lourde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T1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Traverses d’about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T2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Entretoises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C1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Chevêtre de trémie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Panneaux et membranes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Épaisseur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Surface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totale (kg)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Panneau supérieur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Sous-face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Étanchéité à l’air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Couche extérieure ou coupe-vent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Isolant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</w:tbl>
    <w:p>
      <w:pPr>
        <w:spacing w:before="280" w:after="120"/>
      </w:pPr>
      <w:r>
        <w:rPr>
          <w:b/>
          <w:color w:val="1A3C2A"/>
          <w:sz w:val="23"/>
        </w:rPr>
        <w:t>Bilan du plancher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totale du bois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totale des panneaux et membranes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de l’isolant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Quincaillerie et fixations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du plancher terminé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Pesée réelle, si disponible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Écart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Reportez la masse du plancher terminé dans le tableau THS-03A, ligne plancher. Un écart de plus de 10 % entre l’estimé et le pesé se comprend avant de monter les murs.</w:t>
      </w:r>
    </w:p>
    <w:p>
      <w:pPr>
        <w:spacing w:before="280" w:after="120"/>
      </w:pPr>
      <w:r>
        <w:rPr>
          <w:b/>
          <w:color w:val="1A3C2A"/>
          <w:sz w:val="23"/>
        </w:rPr>
        <w:t>Fournisseurs et délais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THS-04B · Feuille de débit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THS-04B    </w:t>
    </w:r>
    <w:r>
      <w:rPr>
        <w:color w:val="716E67"/>
        <w:sz w:val="16"/>
      </w:rPr>
      <w:t>Chapitre 4 — Le plancher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