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Plan d’ossature</w:t>
      </w:r>
    </w:p>
    <w:p>
      <w:r>
        <w:rPr>
          <w:color w:val="716E67"/>
          <w:sz w:val="20"/>
        </w:rPr>
        <w:t>Une façade par page, axes, ouvertures et fixations</w:t>
      </w:r>
    </w:p>
    <w:p>
      <w:r>
        <w:t>Une page par façade, dessinée à plat comme le mur sera assemblé. Un carreau vaut 10 cm.</w:t>
      </w:r>
    </w:p>
    <w:p>
      <w:pPr>
        <w:spacing w:before="280" w:after="120"/>
      </w:pPr>
      <w:r>
        <w:rPr>
          <w:b/>
          <w:color w:val="1A3C2A"/>
          <w:sz w:val="23"/>
        </w:rPr>
        <w:t>Façade</w:t>
      </w:r>
    </w:p>
    <w:p>
      <w:pPr>
        <w:spacing w:after="40"/>
      </w:pPr>
      <w:r>
        <w:rPr>
          <w:color w:val="716E67"/>
          <w:sz w:val="17"/>
        </w:rPr>
        <w:t>Façade : avant / arrière / gauche / droite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Longueur hors tout (mm) et hauteur de mur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Section des montants (mm) et classe du bois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Entraxe principal (mm)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i/>
          <w:color w:val="716E67"/>
          <w:sz w:val="16"/>
        </w:rPr>
        <w:t>À reporter sur le dessin : axe de chaque montant numéroté M01, M02… ; ouvertures avec leur réservation ; linteaux ; angles ; joints de panneaux ; X aux points de fixation à la lisse basse.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Montants et ouvertures de cette façade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Rôle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Longueur (mm)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 depuis l’angle gauche (mm)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M01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M02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M03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M05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M06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M07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M08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M09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M10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Linteaux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Ouverture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Largeur de l’ouverture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Section du linteau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Appuis de chaque côté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Vérifié par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Un linteau se dimensionne selon la largeur de l’ouverture et les charges au-dessus. Ne recopiez pas une composition trouvée en ligne.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THS-05A · Plan d’ossature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THS-05A    </w:t>
    </w:r>
    <w:r>
      <w:rPr>
        <w:color w:val="716E67"/>
        <w:sz w:val="16"/>
      </w:rPr>
      <w:t>Chapitre 5 — L’ossature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