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Fenster und Türen</w:t>
      </w:r>
    </w:p>
    <w:p>
      <w:r>
        <w:rPr>
          <w:color w:val="716E67"/>
          <w:sz w:val="20"/>
        </w:rPr>
        <w:t>Bestellmasse, geplante und gemessene Öffnungen</w:t>
      </w:r>
    </w:p>
    <w:p>
      <w:r>
        <w:t>Dieses Blatt verhindert einen einzigen Fehler, den teuersten des Kapitels: Öffnungen für vermutete Masse zu bauen.</w:t>
      </w:r>
    </w:p>
    <w:p>
      <w:pPr>
        <w:spacing w:before="280" w:after="120"/>
      </w:pPr>
      <w:r>
        <w:rPr>
          <w:b/>
          <w:color w:val="1A3C2A"/>
          <w:sz w:val="23"/>
        </w:rPr>
        <w:t>Eine Zeile je Fenster oder Tür</w:t>
      </w:r>
    </w:p>
    <w:p>
      <w:r>
        <w:rPr>
          <w:i/>
          <w:color w:val="716E67"/>
          <w:sz w:val="16"/>
        </w:rPr>
        <w:t>Das Handelsmass ist nicht das Aussenmass des Rahmens. Das Montagespiel steht im Datenblatt des Herstellers, oft 10 bis 15 mm je Seite.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Rahmenaussenmass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Montagespiel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Geplante Öffnung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Dachfenster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Nach dem Zusammenbau: was wirklich gebaut wurde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Gemessene Breite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Gemessene Höhe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Abweichung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Korrigiert am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Dachfenster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Bestellung</w:t>
      </w:r>
    </w:p>
    <w:p>
      <w:pPr>
        <w:spacing w:after="40"/>
      </w:pPr>
      <w:r>
        <w:rPr>
          <w:color w:val="716E67"/>
          <w:sz w:val="17"/>
        </w:rPr>
        <w:t>Lieferant und Bestelldatum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Angegebene Frist und bestätigter Liefertermin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Öffnungsrichtung für jedes Element geprüft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Verglasungstyp und angegebener Wert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Gesamtmasse der Fenster und Türen (kg), in THS-03A zu übertragen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Bevor Holz geschnitten wird</w:t>
      </w:r>
    </w:p>
    <w:p>
      <w:pPr>
        <w:spacing w:after="120"/>
      </w:pPr>
      <w:r>
        <w:rPr>
          <w:sz w:val="24"/>
        </w:rPr>
        <w:t xml:space="preserve">☐  </w:t>
      </w:r>
      <w:r>
        <w:t>Die Datenblätter aller Fenster und Türen liegen vor.</w:t>
      </w:r>
    </w:p>
    <w:p>
      <w:pPr>
        <w:spacing w:after="120"/>
      </w:pPr>
      <w:r>
        <w:rPr>
          <w:sz w:val="24"/>
        </w:rPr>
        <w:t xml:space="preserve">☐  </w:t>
      </w:r>
      <w:r>
        <w:t>Das Rahmenaussenmass ist dem Datenblatt entnommen, nicht geschätzt.</w:t>
      </w:r>
    </w:p>
    <w:p>
      <w:pPr>
        <w:spacing w:after="120"/>
      </w:pPr>
      <w:r>
        <w:rPr>
          <w:sz w:val="24"/>
        </w:rPr>
        <w:t xml:space="preserve">☐  </w:t>
      </w:r>
      <w:r>
        <w:t>Das vom Hersteller verlangte Montagespiel ist bekannt.</w:t>
      </w:r>
    </w:p>
    <w:p>
      <w:pPr>
        <w:spacing w:after="120"/>
      </w:pPr>
      <w:r>
        <w:rPr>
          <w:sz w:val="24"/>
        </w:rPr>
        <w:t xml:space="preserve">☐  </w:t>
      </w:r>
      <w:r>
        <w:t>Jede Öffnung ist im Konstruktionsplan bemasst.</w:t>
      </w:r>
    </w:p>
    <w:p>
      <w:pPr>
        <w:spacing w:after="120"/>
      </w:pPr>
      <w:r>
        <w:rPr>
          <w:sz w:val="24"/>
        </w:rPr>
        <w:t xml:space="preserve">☐  </w:t>
      </w:r>
      <w:r>
        <w:t>Die Öffnungsrichtung passt zum Innenausbau.</w:t>
      </w:r>
    </w:p>
    <w:p>
      <w:pPr>
        <w:spacing w:after="120"/>
      </w:pPr>
      <w:r>
        <w:rPr>
          <w:sz w:val="24"/>
        </w:rPr>
        <w:t xml:space="preserve">☐  </w:t>
      </w:r>
      <w:r>
        <w:t>Die zugehörigen Brüstungen und Stürze sind gezeichnet.</w:t>
      </w:r>
    </w:p>
    <w:p>
      <w:r>
        <w:rPr>
          <w:b/>
          <w:color w:val="1A3C2A"/>
        </w:rPr>
        <w:t>Die Montage und ihre drei Dichtheitsebenen behandelt Kapitel 8. Dieses Blatt deckt nur die Masse ab.</w:t>
      </w:r>
    </w:p>
    <w:p>
      <w:pPr>
        <w:spacing w:before="280" w:after="120"/>
      </w:pPr>
      <w:r>
        <w:rPr>
          <w:b/>
          <w:color w:val="1A3C2A"/>
          <w:sz w:val="23"/>
        </w:rPr>
        <w:t>Beobachtungen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THS-05C · Fenster und Türen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THS-05C    </w:t>
    </w:r>
    <w:r>
      <w:rPr>
        <w:color w:val="716E67"/>
        <w:sz w:val="16"/>
      </w:rPr>
      <w:t>Kapitel 5 — Die Konstruktion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