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Fenêtres et portes</w:t>
      </w:r>
    </w:p>
    <w:p>
      <w:r>
        <w:rPr>
          <w:color w:val="716E67"/>
          <w:sz w:val="20"/>
        </w:rPr>
        <w:t>Dimensions commandées, réservations prévues et mesurées</w:t>
      </w:r>
    </w:p>
    <w:p>
      <w:r>
        <w:t>Cette fiche existe pour empêcher une seule erreur, la plus coûteuse du chapitre : construire des réservations pour des dimensions supposées.</w:t>
      </w:r>
    </w:p>
    <w:p>
      <w:pPr>
        <w:spacing w:before="280" w:after="120"/>
      </w:pPr>
      <w:r>
        <w:rPr>
          <w:b/>
          <w:color w:val="1A3C2A"/>
          <w:sz w:val="23"/>
        </w:rPr>
        <w:t>Une ligne par menuiserie</w:t>
      </w:r>
    </w:p>
    <w:p>
      <w:r>
        <w:rPr>
          <w:i/>
          <w:color w:val="716E67"/>
          <w:sz w:val="16"/>
        </w:rPr>
        <w:t>La dimension commerciale n’est pas la dimension hors tout du cadre. Le jeu de pose vient de la fiche du fabricant, souvent 10 à 15 mm par côté.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et référence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Hors tout du cadre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Jeu de pose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Réservation prévue (mm)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Porte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Lanterneau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Après assemblage : ce qui a été réellement construit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Largeur mesurée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Hauteur mesurée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Écart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Corrigé le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Porte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Lanterneau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Commande</w:t>
      </w:r>
    </w:p>
    <w:p>
      <w:pPr>
        <w:spacing w:after="40"/>
      </w:pPr>
      <w:r>
        <w:rPr>
          <w:color w:val="716E67"/>
          <w:sz w:val="17"/>
        </w:rPr>
        <w:t>Fournisseur et date de commande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Délai annoncé, et date de livraison confirmée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Sens d’ouverture vérifié pour chaque menuiserie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Type de vitrage et valeur annoncée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Masse totale des menuiseries (kg), à reporter dans THS-03A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Avant de couper le bois</w:t>
      </w:r>
    </w:p>
    <w:p>
      <w:pPr>
        <w:spacing w:after="120"/>
      </w:pPr>
      <w:r>
        <w:rPr>
          <w:sz w:val="24"/>
        </w:rPr>
        <w:t xml:space="preserve">☐  </w:t>
      </w:r>
      <w:r>
        <w:t>Les fiches techniques de toutes les menuiseries sont en main.</w:t>
      </w:r>
    </w:p>
    <w:p>
      <w:pPr>
        <w:spacing w:after="120"/>
      </w:pPr>
      <w:r>
        <w:rPr>
          <w:sz w:val="24"/>
        </w:rPr>
        <w:t xml:space="preserve">☐  </w:t>
      </w:r>
      <w:r>
        <w:t>Le hors tout du cadre est relevé sur la fiche, pas estimé.</w:t>
      </w:r>
    </w:p>
    <w:p>
      <w:pPr>
        <w:spacing w:after="120"/>
      </w:pPr>
      <w:r>
        <w:rPr>
          <w:sz w:val="24"/>
        </w:rPr>
        <w:t xml:space="preserve">☐  </w:t>
      </w:r>
      <w:r>
        <w:t>Le jeu de pose demandé par le fabricant est connu.</w:t>
      </w:r>
    </w:p>
    <w:p>
      <w:pPr>
        <w:spacing w:after="120"/>
      </w:pPr>
      <w:r>
        <w:rPr>
          <w:sz w:val="24"/>
        </w:rPr>
        <w:t xml:space="preserve">☐  </w:t>
      </w:r>
      <w:r>
        <w:t>Chaque réservation est cotée sur le plan d’ossature.</w:t>
      </w:r>
    </w:p>
    <w:p>
      <w:pPr>
        <w:spacing w:after="120"/>
      </w:pPr>
      <w:r>
        <w:rPr>
          <w:sz w:val="24"/>
        </w:rPr>
        <w:t xml:space="preserve">☐  </w:t>
      </w:r>
      <w:r>
        <w:t>Le sens d’ouverture est compatible avec l’aménagement intérieur.</w:t>
      </w:r>
    </w:p>
    <w:p>
      <w:pPr>
        <w:spacing w:after="120"/>
      </w:pPr>
      <w:r>
        <w:rPr>
          <w:sz w:val="24"/>
        </w:rPr>
        <w:t xml:space="preserve">☐  </w:t>
      </w:r>
      <w:r>
        <w:t>Les appuis et linteaux correspondants sont dessinés.</w:t>
      </w:r>
    </w:p>
    <w:p>
      <w:r>
        <w:rPr>
          <w:b/>
          <w:color w:val="1A3C2A"/>
        </w:rPr>
        <w:t>La pose et ses trois niveaux d’étanchéité sont traités au chapitre 8. Cette fiche ne couvre que les dimensions.</w:t>
      </w:r>
    </w:p>
    <w:p>
      <w:pPr>
        <w:spacing w:before="280" w:after="120"/>
      </w:pPr>
      <w:r>
        <w:rPr>
          <w:b/>
          <w:color w:val="1A3C2A"/>
          <w:sz w:val="23"/>
        </w:rPr>
        <w:t>Observations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THS-05C · Fenêtres et portes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THS-05C    </w:t>
    </w:r>
    <w:r>
      <w:rPr>
        <w:color w:val="716E67"/>
        <w:sz w:val="16"/>
      </w:rPr>
      <w:t>Chapitre 5 — L’ossature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