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Équerrage et aplomb</w:t>
      </w:r>
    </w:p>
    <w:p>
      <w:r>
        <w:rPr>
          <w:color w:val="716E67"/>
          <w:sz w:val="20"/>
        </w:rPr>
        <w:t>Contrôle avant de monter la toiture</w:t>
      </w:r>
    </w:p>
    <w:p>
      <w:r>
        <w:t>Ne montez pas la toiture si l’ossature n’est pas d’aplomb. La toiture ne redresse pas un bâtiment tordu, elle le fige.</w:t>
      </w:r>
    </w:p>
    <w:p>
      <w:pPr>
        <w:spacing w:before="280" w:after="120"/>
      </w:pPr>
      <w:r>
        <w:rPr>
          <w:b/>
          <w:color w:val="1A3C2A"/>
          <w:sz w:val="23"/>
        </w:rPr>
        <w:t>Géométrie d’ensemble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Mesure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Longueur, mur gauche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Longueur, mur droit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avant, en bas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avant, en haut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arrière, en bas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arrière, en haut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Diagonale A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Diagonale B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Écart entre diagonales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Viser zéro, accepter 3 mm, corriger au-delà de 5 mm. Un écart de 10 mm devient un problème de bardage, puis de fenêtre, puis de toiture.</w:t>
      </w:r>
    </w:p>
    <w:p>
      <w:pPr>
        <w:spacing w:before="280" w:after="120"/>
      </w:pPr>
      <w:r>
        <w:rPr>
          <w:b/>
          <w:color w:val="1A3C2A"/>
          <w:sz w:val="23"/>
        </w:rPr>
        <w:t>Aplomb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Point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Écart mesuré (mm)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Corrigé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Angle avant gauche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Angle avant droit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Angle arrière gauche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Angle arrière droit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Milieu de la façade gauche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Milieu de la façade droite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Ouvertures réellement construites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Ouverture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Largeur prévue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Largeur mesurée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Hauteur prévue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Hauteur mesurée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Porte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Contrôles avant la toiture</w:t>
      </w:r>
    </w:p>
    <w:p>
      <w:pPr>
        <w:spacing w:after="120"/>
      </w:pPr>
      <w:r>
        <w:rPr>
          <w:sz w:val="24"/>
        </w:rPr>
        <w:t xml:space="preserve">☐  </w:t>
      </w:r>
      <w:r>
        <w:t>Section et classe du bois conformes au plan.</w:t>
      </w:r>
    </w:p>
    <w:p>
      <w:pPr>
        <w:spacing w:after="120"/>
      </w:pPr>
      <w:r>
        <w:rPr>
          <w:sz w:val="24"/>
        </w:rPr>
        <w:t xml:space="preserve">☐  </w:t>
      </w:r>
      <w:r>
        <w:t>Entraxe respecté, joints de panneaux sur appui.</w:t>
      </w:r>
    </w:p>
    <w:p>
      <w:pPr>
        <w:spacing w:after="120"/>
      </w:pPr>
      <w:r>
        <w:rPr>
          <w:sz w:val="24"/>
        </w:rPr>
        <w:t xml:space="preserve">☐  </w:t>
      </w:r>
      <w:r>
        <w:t>Contreventement terminé sur toutes les façades.</w:t>
      </w:r>
    </w:p>
    <w:p>
      <w:pPr>
        <w:spacing w:after="120"/>
      </w:pPr>
      <w:r>
        <w:rPr>
          <w:sz w:val="24"/>
        </w:rPr>
        <w:t xml:space="preserve">☐  </w:t>
      </w:r>
      <w:r>
        <w:t>Liaison du contreventement jusqu’à la lisse basse et au plancher.</w:t>
      </w:r>
    </w:p>
    <w:p>
      <w:pPr>
        <w:spacing w:after="120"/>
      </w:pPr>
      <w:r>
        <w:rPr>
          <w:sz w:val="24"/>
        </w:rPr>
        <w:t xml:space="preserve">☐  </w:t>
      </w:r>
      <w:r>
        <w:t>Fixations à la base contrôlées et serrées.</w:t>
      </w:r>
    </w:p>
    <w:p>
      <w:pPr>
        <w:spacing w:after="120"/>
      </w:pPr>
      <w:r>
        <w:rPr>
          <w:sz w:val="24"/>
        </w:rPr>
        <w:t xml:space="preserve">☐  </w:t>
      </w:r>
      <w:r>
        <w:t>Aucun percement non prévu dans un montant ou un linteau.</w:t>
      </w:r>
    </w:p>
    <w:p>
      <w:pPr>
        <w:spacing w:after="120"/>
      </w:pPr>
      <w:r>
        <w:rPr>
          <w:sz w:val="24"/>
        </w:rPr>
        <w:t xml:space="preserve">☐  </w:t>
      </w:r>
      <w:r>
        <w:t>Niveau des lisses hautes contrôlé sur toute la longueur.</w:t>
      </w:r>
    </w:p>
    <w:p>
      <w:pPr>
        <w:spacing w:after="120"/>
      </w:pPr>
      <w:r>
        <w:rPr>
          <w:sz w:val="24"/>
        </w:rPr>
        <w:t xml:space="preserve">☐  </w:t>
      </w:r>
      <w:r>
        <w:t>Photos prises façade par façade, avec un mètre visible.</w:t>
      </w:r>
    </w:p>
    <w:p>
      <w:pPr>
        <w:spacing w:before="280" w:after="120"/>
      </w:pPr>
      <w:r>
        <w:rPr>
          <w:b/>
          <w:color w:val="1A3C2A"/>
          <w:sz w:val="23"/>
        </w:rPr>
        <w:t>Poids</w:t>
      </w:r>
    </w:p>
    <w:p>
      <w:pPr>
        <w:spacing w:after="40"/>
      </w:pPr>
      <w:r>
        <w:rPr>
          <w:color w:val="716E67"/>
          <w:sz w:val="17"/>
        </w:rPr>
        <w:t>Poids estimé de l’ossature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Poids cumulé de la maison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Marge restante avant le poids maximal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Ossature terminée le, par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THS-05D · Équerrage et aplomb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THS-05D    </w:t>
    </w:r>
    <w:r>
      <w:rPr>
        <w:color w:val="716E67"/>
        <w:sz w:val="16"/>
      </w:rPr>
      <w:t>Chapitre 5 — L’ossature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