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Eindeckung und Bemessung</w:t>
      </w:r>
    </w:p>
    <w:p>
      <w:r>
        <w:rPr>
          <w:color w:val="716E67"/>
          <w:sz w:val="20"/>
        </w:rPr>
        <w:t>Gewähltes Produkt, Tragwerk und Lastannahmen</w:t>
      </w:r>
    </w:p>
    <w:p>
      <w:r>
        <w:t>Alles Folgende wird aus den Unterlagen des konkreten Produkts übertragen, nicht aus einem Video oder einer Verkaufsseite.</w:t>
      </w:r>
    </w:p>
    <w:p>
      <w:pPr>
        <w:spacing w:before="280" w:after="120"/>
      </w:pPr>
      <w:r>
        <w:rPr>
          <w:b/>
          <w:color w:val="1A3C2A"/>
          <w:sz w:val="23"/>
        </w:rPr>
        <w:t>Gewählte Eindeckung</w:t>
      </w:r>
    </w:p>
    <w:p>
      <w:pPr>
        <w:spacing w:after="40"/>
      </w:pPr>
      <w:r>
        <w:rPr>
          <w:color w:val="716E67"/>
          <w:sz w:val="17"/>
        </w:rPr>
        <w:t>Produkt, Hersteller und Referenz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Vom Hersteller zugelassene Mindestneigung (% und Grad)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Tatsächlich vorgesehene Neigung (% und Grad)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Verlangter Untergrund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Zulässiger Achsabstand der Auflager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Befestigungsart, Dichtscheibe und Anzugsmoment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Längs- und Querüberdeckungen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Vom System verlangte Randausbildung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Belüftung unter der Eindeckung verlangt: ja / nein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Besondere Bedingungen in windexponierter Lage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Unterdach oder Abdichtung</w:t>
      </w:r>
    </w:p>
    <w:p>
      <w:pPr>
        <w:spacing w:after="40"/>
      </w:pPr>
      <w:r>
        <w:rPr>
          <w:color w:val="716E67"/>
          <w:sz w:val="17"/>
        </w:rPr>
        <w:t>Produkt und Referenz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Angegebene maximale Freibewitterung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Datum der Verlegung und spätester Termin zum Abdecken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Tragwerk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Zeile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Querschnitt der tragenden Teile (mm)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Achsabstand (mm)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Grösste Spannweite (mm)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Holzklasse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Vorgesehene Verbindungen und Verbinder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Lastannahmen</w:t>
      </w:r>
    </w:p>
    <w:p>
      <w:r>
        <w:rPr>
          <w:i/>
          <w:color w:val="716E67"/>
          <w:sz w:val="16"/>
        </w:rPr>
        <w:t>Die Schneelast hängt vom Standort ab. Ein mobiles Haus muss wissen, für welche Bedingungen es gebaut ist.</w:t>
      </w:r>
    </w:p>
    <w:p>
      <w:pPr>
        <w:spacing w:after="40"/>
      </w:pPr>
      <w:r>
        <w:rPr>
          <w:color w:val="716E67"/>
          <w:sz w:val="17"/>
        </w:rPr>
        <w:t>Angenommener Standort und Höhenlage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Berücksichtigte Schneelast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Berücksichtigte Windlast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Vorgesehene Solarmodule: Masse und Lage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Tragwerk geprüft durch, Funktion und Datum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Wechselt das Haus die Höhenlage, ist diese Seite vor dem Versetzen neu zu lesen.</w:t>
      </w:r>
    </w:p>
    <w:p>
      <w:pPr>
        <w:spacing w:before="280" w:after="120"/>
      </w:pPr>
      <w:r>
        <w:rPr>
          <w:b/>
          <w:color w:val="1A3C2A"/>
          <w:sz w:val="23"/>
        </w:rPr>
        <w:t>Massen des Dachs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Element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Masse (kg)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Holzkonstruktion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Untergrund oder Platte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Bahnen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Lattung und Konterlattung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Eindeckung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Spenglerarbeiten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Rinnen und Fallrohre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Allfällige Solarmodule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Total Dach, in THS-03A zu übertragen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THS-06B · Eindeckung und Bemessung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THS-06B    </w:t>
    </w:r>
    <w:r>
      <w:rPr>
        <w:color w:val="716E67"/>
        <w:sz w:val="16"/>
      </w:rPr>
      <w:t>Kapitel 6 — Das Dach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