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Kontrolle des Dachs</w:t>
      </w:r>
    </w:p>
    <w:p>
      <w:r>
        <w:rPr>
          <w:color w:val="716E67"/>
          <w:sz w:val="20"/>
        </w:rPr>
        <w:t>Vor dem Übergang zur Fassade</w:t>
      </w:r>
    </w:p>
    <w:p>
      <w:r>
        <w:t>Gehen Sie nicht zur Fassade über, solange die Dachränder provisorisch sind — auch nicht, um Zeit zu gewinnen.</w:t>
      </w:r>
    </w:p>
    <w:p>
      <w:pPr>
        <w:spacing w:before="280" w:after="120"/>
      </w:pPr>
      <w:r>
        <w:rPr>
          <w:b/>
          <w:color w:val="1A3C2A"/>
          <w:sz w:val="23"/>
        </w:rPr>
        <w:t>Masse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Messung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Theoretische Gesamthöhe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Am fertigen Haus gemessene Gesamthöhe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Reserve unter 4 000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Grösste Breite, Vordächer und Ränder inbegriffen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Reserve unter 2 550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Tragwerk und Eindeckung</w:t>
      </w:r>
    </w:p>
    <w:p>
      <w:pPr>
        <w:spacing w:after="120"/>
      </w:pPr>
      <w:r>
        <w:rPr>
          <w:sz w:val="24"/>
        </w:rPr>
        <w:t xml:space="preserve">☐  </w:t>
      </w:r>
      <w:r>
        <w:t>Ausgeführte Neigung gleich oder grösser als die Mindestneigung des Herstellers.</w:t>
      </w:r>
    </w:p>
    <w:p>
      <w:pPr>
        <w:spacing w:after="120"/>
      </w:pPr>
      <w:r>
        <w:rPr>
          <w:sz w:val="24"/>
        </w:rPr>
        <w:t xml:space="preserve">☐  </w:t>
      </w:r>
      <w:r>
        <w:t>Querschnitt, Achsabstand und Spannweite gemäss Plan.</w:t>
      </w:r>
    </w:p>
    <w:p>
      <w:pPr>
        <w:spacing w:after="120"/>
      </w:pPr>
      <w:r>
        <w:rPr>
          <w:sz w:val="24"/>
        </w:rPr>
        <w:t xml:space="preserve">☐  </w:t>
      </w:r>
      <w:r>
        <w:t>Schneelast und Standort berücksichtigt und notiert.</w:t>
      </w:r>
    </w:p>
    <w:p>
      <w:pPr>
        <w:spacing w:after="120"/>
      </w:pPr>
      <w:r>
        <w:rPr>
          <w:sz w:val="24"/>
        </w:rPr>
        <w:t xml:space="preserve">☐  </w:t>
      </w:r>
      <w:r>
        <w:t>Überdeckungen und Befestigungen gemäss Dokumentation.</w:t>
      </w:r>
    </w:p>
    <w:p>
      <w:pPr>
        <w:spacing w:after="120"/>
      </w:pPr>
      <w:r>
        <w:rPr>
          <w:sz w:val="24"/>
        </w:rPr>
        <w:t xml:space="preserve">☐  </w:t>
      </w:r>
      <w:r>
        <w:t>Keine Schraube ausserhalb der vom Profil vorgesehenen Zonen.</w:t>
      </w:r>
    </w:p>
    <w:p>
      <w:pPr>
        <w:spacing w:after="120"/>
      </w:pPr>
      <w:r>
        <w:rPr>
          <w:sz w:val="24"/>
        </w:rPr>
        <w:t xml:space="preserve">☐  </w:t>
      </w:r>
      <w:r>
        <w:t>Dichtscheiben angezogen, aber nicht zerquetscht.</w:t>
      </w:r>
    </w:p>
    <w:p>
      <w:pPr>
        <w:spacing w:before="280" w:after="120"/>
      </w:pPr>
      <w:r>
        <w:rPr>
          <w:b/>
          <w:color w:val="1A3C2A"/>
          <w:sz w:val="23"/>
        </w:rPr>
        <w:t>Belüftung und Bahnen</w:t>
      </w:r>
    </w:p>
    <w:p>
      <w:pPr>
        <w:spacing w:after="120"/>
      </w:pPr>
      <w:r>
        <w:rPr>
          <w:sz w:val="24"/>
        </w:rPr>
        <w:t xml:space="preserve">☐  </w:t>
      </w:r>
      <w:r>
        <w:t>Luftschicht durchgehend, nicht durch Latte oder Dämmstoff verstopft.</w:t>
      </w:r>
    </w:p>
    <w:p>
      <w:pPr>
        <w:spacing w:after="120"/>
      </w:pPr>
      <w:r>
        <w:rPr>
          <w:sz w:val="24"/>
        </w:rPr>
        <w:t xml:space="preserve">☐  </w:t>
      </w:r>
      <w:r>
        <w:t>Lufteintritt unten offen und gegen Insekten geschützt.</w:t>
      </w:r>
    </w:p>
    <w:p>
      <w:pPr>
        <w:spacing w:after="120"/>
      </w:pPr>
      <w:r>
        <w:rPr>
          <w:sz w:val="24"/>
        </w:rPr>
        <w:t xml:space="preserve">☐  </w:t>
      </w:r>
      <w:r>
        <w:t>Luftaustritt oben offen und geschützt.</w:t>
      </w:r>
    </w:p>
    <w:p>
      <w:pPr>
        <w:spacing w:after="120"/>
      </w:pPr>
      <w:r>
        <w:rPr>
          <w:sz w:val="24"/>
        </w:rPr>
        <w:t xml:space="preserve">☐  </w:t>
      </w:r>
      <w:r>
        <w:t>Freibewitterung des Unterdachs eingehalten.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Ränder, Spenglerarbeit und Durchdringungen</w:t>
      </w:r>
    </w:p>
    <w:p>
      <w:pPr>
        <w:spacing w:after="120"/>
      </w:pPr>
      <w:r>
        <w:rPr>
          <w:sz w:val="24"/>
        </w:rPr>
        <w:t xml:space="preserve">☐  </w:t>
      </w:r>
      <w:r>
        <w:t>Jeder Rand wurde vor der Ausführung im Schnitt gezeichnet.</w:t>
      </w:r>
    </w:p>
    <w:p>
      <w:pPr>
        <w:spacing w:after="120"/>
      </w:pPr>
      <w:r>
        <w:rPr>
          <w:sz w:val="24"/>
        </w:rPr>
        <w:t xml:space="preserve">☐  </w:t>
      </w:r>
      <w:r>
        <w:t>Kein Detail beruht allein auf Dichtstoff.</w:t>
      </w:r>
    </w:p>
    <w:p>
      <w:pPr>
        <w:spacing w:after="120"/>
      </w:pPr>
      <w:r>
        <w:rPr>
          <w:sz w:val="24"/>
        </w:rPr>
        <w:t xml:space="preserve">☐  </w:t>
      </w:r>
      <w:r>
        <w:t>Überdeckungen in der richtigen Richtung, oben über unten.</w:t>
      </w:r>
    </w:p>
    <w:p>
      <w:pPr>
        <w:spacing w:after="120"/>
      </w:pPr>
      <w:r>
        <w:rPr>
          <w:sz w:val="24"/>
        </w:rPr>
        <w:t xml:space="preserve">☐  </w:t>
      </w:r>
      <w:r>
        <w:t>Alle Durchdringungen verwenden das Zubehör des Systems.</w:t>
      </w:r>
    </w:p>
    <w:p>
      <w:pPr>
        <w:spacing w:after="120"/>
      </w:pPr>
      <w:r>
        <w:rPr>
          <w:sz w:val="24"/>
        </w:rPr>
        <w:t xml:space="preserve">☐  </w:t>
      </w:r>
      <w:r>
        <w:t>Kaminrohr: Abstände und Höhe konform, Freigabe vorhanden.</w:t>
      </w:r>
    </w:p>
    <w:p>
      <w:pPr>
        <w:spacing w:after="120"/>
      </w:pPr>
      <w:r>
        <w:rPr>
          <w:sz w:val="24"/>
        </w:rPr>
        <w:t xml:space="preserve">☐  </w:t>
      </w:r>
      <w:r>
        <w:t>Rinnen und Fallrohre montiert und bemessen.</w:t>
      </w:r>
    </w:p>
    <w:p>
      <w:pPr>
        <w:spacing w:after="120"/>
      </w:pPr>
      <w:r>
        <w:rPr>
          <w:sz w:val="24"/>
        </w:rPr>
        <w:t xml:space="preserve">☐  </w:t>
      </w:r>
      <w:r>
        <w:t>Notentwässerung vorhanden, falls das Dach eine Wanne bildet.</w:t>
      </w:r>
    </w:p>
    <w:p>
      <w:pPr>
        <w:spacing w:after="120"/>
      </w:pPr>
      <w:r>
        <w:rPr>
          <w:sz w:val="24"/>
        </w:rPr>
        <w:t xml:space="preserve">☐  </w:t>
      </w:r>
      <w:r>
        <w:t>Spenglerarbeit fertig, nicht provisorisch.</w:t>
      </w:r>
    </w:p>
    <w:p>
      <w:pPr>
        <w:spacing w:before="280" w:after="120"/>
      </w:pPr>
      <w:r>
        <w:rPr>
          <w:b/>
          <w:color w:val="1A3C2A"/>
          <w:sz w:val="23"/>
        </w:rPr>
        <w:t>Kontrolle nach einem richtigen Regen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Geprüfter Punkt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Datum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Befund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Ränder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Anschlüsse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Durchdringungen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First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Dachfenster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Abläufe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«Ich sehe kein Wasser laufen» ist kein Ergebnis. Eine Undichtheit folgt dem Holz, bevor sie anderswo erscheint.</w:t>
      </w:r>
    </w:p>
    <w:p>
      <w:pPr>
        <w:spacing w:before="280" w:after="120"/>
      </w:pPr>
      <w:r>
        <w:rPr>
          <w:b/>
          <w:color w:val="1A3C2A"/>
          <w:sz w:val="23"/>
        </w:rPr>
        <w:t>Gewicht und Fotos</w:t>
      </w:r>
    </w:p>
    <w:p>
      <w:pPr>
        <w:spacing w:after="40"/>
      </w:pPr>
      <w:r>
        <w:rPr>
          <w:color w:val="716E67"/>
          <w:sz w:val="17"/>
        </w:rPr>
        <w:t>Gewicht des fertigen Dachs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Kumuliertes Gewicht des Hauses (kg) und verbleibende Reserve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Gemachte Fotos: nacktes Tragwerk, Befestigungen, Bahn, Ränder, Abläufe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Dach fertiggestellt am, durch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THS-06D · Kontrolle des Dachs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THS-06D    </w:t>
    </w:r>
    <w:r>
      <w:rPr>
        <w:color w:val="716E67"/>
        <w:sz w:val="16"/>
      </w:rPr>
      <w:t>Kapitel 6 — Das Dach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