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/>
          <w:color w:val="161A15"/>
          <w:sz w:val="40"/>
        </w:rPr>
        <w:t>Contrôle de la toiture</w:t>
      </w:r>
    </w:p>
    <w:p>
      <w:r>
        <w:rPr>
          <w:color w:val="716E67"/>
          <w:sz w:val="20"/>
        </w:rPr>
        <w:t>Avant de passer au pare-pluie et au bardage</w:t>
      </w:r>
    </w:p>
    <w:p>
      <w:r>
        <w:t>Ne passez pas au bardage tant que les rives de toiture sont provisoires, même pour gagner du temps.</w:t>
      </w:r>
    </w:p>
    <w:p>
      <w:pPr>
        <w:spacing w:before="280" w:after="120"/>
      </w:pPr>
      <w:r>
        <w:rPr>
          <w:b/>
          <w:color w:val="1A3C2A"/>
          <w:sz w:val="23"/>
        </w:rPr>
        <w:t>Gabarit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Mesure</w:t>
            </w:r>
          </w:p>
        </w:tc>
        <w:tc>
          <w:tcPr>
            <w:tcW w:type="dxa" w:w="481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Valeur (mm)</w:t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Hauteur totale théorique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Hauteur totale mesurée sur la maison terminée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Marge sous 4 000 mm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Largeur maximale, débords et rives compris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Marge sous 2 550 mm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</w:tbl>
    <w:p>
      <w:pPr>
        <w:spacing w:before="280" w:after="120"/>
      </w:pPr>
      <w:r>
        <w:rPr>
          <w:b/>
          <w:color w:val="1A3C2A"/>
          <w:sz w:val="23"/>
        </w:rPr>
        <w:t>Structure et couverture</w:t>
      </w:r>
    </w:p>
    <w:p>
      <w:pPr>
        <w:spacing w:after="120"/>
      </w:pPr>
      <w:r>
        <w:rPr>
          <w:sz w:val="24"/>
        </w:rPr>
        <w:t xml:space="preserve">☐  </w:t>
      </w:r>
      <w:r>
        <w:t>Pente réalisée égale ou supérieure à la pente minimale du fabricant.</w:t>
      </w:r>
    </w:p>
    <w:p>
      <w:pPr>
        <w:spacing w:after="120"/>
      </w:pPr>
      <w:r>
        <w:rPr>
          <w:sz w:val="24"/>
        </w:rPr>
        <w:t xml:space="preserve">☐  </w:t>
      </w:r>
      <w:r>
        <w:t>Section, entraxe et portée conformes au plan.</w:t>
      </w:r>
    </w:p>
    <w:p>
      <w:pPr>
        <w:spacing w:after="120"/>
      </w:pPr>
      <w:r>
        <w:rPr>
          <w:sz w:val="24"/>
        </w:rPr>
        <w:t xml:space="preserve">☐  </w:t>
      </w:r>
      <w:r>
        <w:t>Charge de neige et lieu d’implantation pris en compte et écrits.</w:t>
      </w:r>
    </w:p>
    <w:p>
      <w:pPr>
        <w:spacing w:after="120"/>
      </w:pPr>
      <w:r>
        <w:rPr>
          <w:sz w:val="24"/>
        </w:rPr>
        <w:t xml:space="preserve">☐  </w:t>
      </w:r>
      <w:r>
        <w:t>Recouvrements et fixations conformes à la documentation.</w:t>
      </w:r>
    </w:p>
    <w:p>
      <w:pPr>
        <w:spacing w:after="120"/>
      </w:pPr>
      <w:r>
        <w:rPr>
          <w:sz w:val="24"/>
        </w:rPr>
        <w:t xml:space="preserve">☐  </w:t>
      </w:r>
      <w:r>
        <w:t>Aucune vis placée hors des zones prévues par le profil.</w:t>
      </w:r>
    </w:p>
    <w:p>
      <w:pPr>
        <w:spacing w:after="120"/>
      </w:pPr>
      <w:r>
        <w:rPr>
          <w:sz w:val="24"/>
        </w:rPr>
        <w:t xml:space="preserve">☐  </w:t>
      </w:r>
      <w:r>
        <w:t>Rondelles d’étanchéité serrées sans être écrasées.</w:t>
      </w:r>
    </w:p>
    <w:p>
      <w:pPr>
        <w:spacing w:before="280" w:after="120"/>
      </w:pPr>
      <w:r>
        <w:rPr>
          <w:b/>
          <w:color w:val="1A3C2A"/>
          <w:sz w:val="23"/>
        </w:rPr>
        <w:t>Ventilation et membranes</w:t>
      </w:r>
    </w:p>
    <w:p>
      <w:pPr>
        <w:spacing w:after="120"/>
      </w:pPr>
      <w:r>
        <w:rPr>
          <w:sz w:val="24"/>
        </w:rPr>
        <w:t xml:space="preserve">☐  </w:t>
      </w:r>
      <w:r>
        <w:t>Lame d’air continue, sans tasseau ni isolant qui la bouche.</w:t>
      </w:r>
    </w:p>
    <w:p>
      <w:pPr>
        <w:spacing w:after="120"/>
      </w:pPr>
      <w:r>
        <w:rPr>
          <w:sz w:val="24"/>
        </w:rPr>
        <w:t xml:space="preserve">☐  </w:t>
      </w:r>
      <w:r>
        <w:t>Entrée d’air en bas ouverte et protégée contre les insectes.</w:t>
      </w:r>
    </w:p>
    <w:p>
      <w:pPr>
        <w:spacing w:after="120"/>
      </w:pPr>
      <w:r>
        <w:rPr>
          <w:sz w:val="24"/>
        </w:rPr>
        <w:t xml:space="preserve">☐  </w:t>
      </w:r>
      <w:r>
        <w:t>Sortie d’air en haut ouverte et protégée.</w:t>
      </w:r>
    </w:p>
    <w:p>
      <w:pPr>
        <w:spacing w:after="120"/>
      </w:pPr>
      <w:r>
        <w:rPr>
          <w:sz w:val="24"/>
        </w:rPr>
        <w:t xml:space="preserve">☐  </w:t>
      </w:r>
      <w:r>
        <w:t>Durée d’exposition de la sous-toiture respectée.</w:t>
      </w:r>
    </w:p>
    <w:p>
      <w:r>
        <w:br w:type="page"/>
      </w:r>
    </w:p>
    <w:p>
      <w:pPr>
        <w:spacing w:before="280" w:after="120"/>
      </w:pPr>
      <w:r>
        <w:rPr>
          <w:b/>
          <w:color w:val="1A3C2A"/>
          <w:sz w:val="23"/>
        </w:rPr>
        <w:t>Rives, ferblanterie et pénétrations</w:t>
      </w:r>
    </w:p>
    <w:p>
      <w:pPr>
        <w:spacing w:after="120"/>
      </w:pPr>
      <w:r>
        <w:rPr>
          <w:sz w:val="24"/>
        </w:rPr>
        <w:t xml:space="preserve">☐  </w:t>
      </w:r>
      <w:r>
        <w:t>Chaque rive a été dessinée en coupe avant d’être posée.</w:t>
      </w:r>
    </w:p>
    <w:p>
      <w:pPr>
        <w:spacing w:after="120"/>
      </w:pPr>
      <w:r>
        <w:rPr>
          <w:sz w:val="24"/>
        </w:rPr>
        <w:t xml:space="preserve">☐  </w:t>
      </w:r>
      <w:r>
        <w:t>Aucun détail ne repose uniquement sur du mastic.</w:t>
      </w:r>
    </w:p>
    <w:p>
      <w:pPr>
        <w:spacing w:after="120"/>
      </w:pPr>
      <w:r>
        <w:rPr>
          <w:sz w:val="24"/>
        </w:rPr>
        <w:t xml:space="preserve">☐  </w:t>
      </w:r>
      <w:r>
        <w:t>Recouvrements dans le bon sens, pièce haute par-dessus pièce basse.</w:t>
      </w:r>
    </w:p>
    <w:p>
      <w:pPr>
        <w:spacing w:after="120"/>
      </w:pPr>
      <w:r>
        <w:rPr>
          <w:sz w:val="24"/>
        </w:rPr>
        <w:t xml:space="preserve">☐  </w:t>
      </w:r>
      <w:r>
        <w:t>Toutes les pénétrations utilisent les accessoires du système.</w:t>
      </w:r>
    </w:p>
    <w:p>
      <w:pPr>
        <w:spacing w:after="120"/>
      </w:pPr>
      <w:r>
        <w:rPr>
          <w:sz w:val="24"/>
        </w:rPr>
        <w:t xml:space="preserve">☐  </w:t>
      </w:r>
      <w:r>
        <w:t>Conduit de poêle : distances et hauteur conformes, validation obtenue.</w:t>
      </w:r>
    </w:p>
    <w:p>
      <w:pPr>
        <w:spacing w:after="120"/>
      </w:pPr>
      <w:r>
        <w:rPr>
          <w:sz w:val="24"/>
        </w:rPr>
        <w:t xml:space="preserve">☐  </w:t>
      </w:r>
      <w:r>
        <w:t>Gouttières et descentes posées et dimensionnées.</w:t>
      </w:r>
    </w:p>
    <w:p>
      <w:pPr>
        <w:spacing w:after="120"/>
      </w:pPr>
      <w:r>
        <w:rPr>
          <w:sz w:val="24"/>
        </w:rPr>
        <w:t xml:space="preserve">☐  </w:t>
      </w:r>
      <w:r>
        <w:t>Évacuation de secours en place si la toiture forme un bac.</w:t>
      </w:r>
    </w:p>
    <w:p>
      <w:pPr>
        <w:spacing w:after="120"/>
      </w:pPr>
      <w:r>
        <w:rPr>
          <w:sz w:val="24"/>
        </w:rPr>
        <w:t xml:space="preserve">☐  </w:t>
      </w:r>
      <w:r>
        <w:t>Ferblanterie terminée, pas provisoire.</w:t>
      </w:r>
    </w:p>
    <w:p>
      <w:pPr>
        <w:spacing w:before="280" w:after="120"/>
      </w:pPr>
      <w:r>
        <w:rPr>
          <w:b/>
          <w:color w:val="1A3C2A"/>
          <w:sz w:val="23"/>
        </w:rPr>
        <w:t>Contrôle après une vraie pluie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Point contrôlé</w:t>
            </w:r>
          </w:p>
        </w:tc>
        <w:tc>
          <w:tcPr>
            <w:tcW w:type="dxa" w:w="3213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Date</w:t>
            </w:r>
          </w:p>
        </w:tc>
        <w:tc>
          <w:tcPr>
            <w:tcW w:type="dxa" w:w="3213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Constat</w:t>
            </w:r>
          </w:p>
        </w:tc>
      </w:tr>
      <w:tr>
        <w:tc>
          <w:tcPr>
            <w:tcW w:type="dxa" w:w="3213"/>
          </w:tcPr>
          <w:p>
            <w:r/>
            <w:r>
              <w:rPr>
                <w:sz w:val="16"/>
              </w:rPr>
              <w:t>Rives</w:t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3213"/>
          </w:tcPr>
          <w:p>
            <w:r/>
            <w:r>
              <w:rPr>
                <w:sz w:val="16"/>
              </w:rPr>
              <w:t>Raccords</w:t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3213"/>
          </w:tcPr>
          <w:p>
            <w:r/>
            <w:r>
              <w:rPr>
                <w:sz w:val="16"/>
              </w:rPr>
              <w:t>Pénétrations</w:t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3213"/>
          </w:tcPr>
          <w:p>
            <w:r/>
            <w:r>
              <w:rPr>
                <w:sz w:val="16"/>
              </w:rPr>
              <w:t>Faîtage</w:t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3213"/>
          </w:tcPr>
          <w:p>
            <w:r/>
            <w:r>
              <w:rPr>
                <w:sz w:val="16"/>
              </w:rPr>
              <w:t>Fenêtres de toit</w:t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3213"/>
          </w:tcPr>
          <w:p>
            <w:r/>
            <w:r>
              <w:rPr>
                <w:sz w:val="16"/>
              </w:rPr>
              <w:t>Évacuations</w:t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</w:tr>
    </w:tbl>
    <w:p>
      <w:r>
        <w:rPr>
          <w:b/>
          <w:color w:val="1A3C2A"/>
        </w:rPr>
        <w:t>« Je ne vois pas d’eau couler » n’est pas un résultat. Une entrée d’eau suit le bois avant d’apparaître ailleurs.</w:t>
      </w:r>
    </w:p>
    <w:p>
      <w:pPr>
        <w:spacing w:before="280" w:after="120"/>
      </w:pPr>
      <w:r>
        <w:rPr>
          <w:b/>
          <w:color w:val="1A3C2A"/>
          <w:sz w:val="23"/>
        </w:rPr>
        <w:t>Poids et photos</w:t>
      </w:r>
    </w:p>
    <w:p>
      <w:pPr>
        <w:spacing w:after="40"/>
      </w:pPr>
      <w:r>
        <w:rPr>
          <w:color w:val="716E67"/>
          <w:sz w:val="17"/>
        </w:rPr>
        <w:t>Poids de la toiture terminée (kg)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Poids cumulé de la maison (kg), et marge restante (kg)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Photos prises : structure nue, fixations, membrane, rives, évacuations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Toiture terminée le, par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before="320"/>
      </w:pPr>
      <w:r>
        <w:rPr>
          <w:color w:val="716E67"/>
          <w:sz w:val="15"/>
        </w:rPr>
        <w:t>Document préparé par Tiny House Suisse — reproduction libre pour usage personnel.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16E67"/>
        <w:sz w:val="14"/>
      </w:rPr>
      <w:t>THS-06D · Contrôle de la toiture · Tiny House Suisse — Guide d’autoconstruction  ·  www.tinyhousesuisse.ch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b/>
        <w:color w:val="1A3C2A"/>
        <w:sz w:val="16"/>
      </w:rPr>
      <w:t xml:space="preserve">THS-06D    </w:t>
    </w:r>
    <w:r>
      <w:rPr>
        <w:color w:val="716E67"/>
        <w:sz w:val="16"/>
      </w:rPr>
      <w:t>Chapitre 6 — La toiture</w:t>
    </w:r>
    <w:r>
      <w:tab/>
      <w:tab/>
    </w:r>
    <w:r>
      <w:drawing>
        <wp:inline xmlns:a="http://schemas.openxmlformats.org/drawingml/2006/main" xmlns:pic="http://schemas.openxmlformats.org/drawingml/2006/picture">
          <wp:extent cx="396000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6000" cy="396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61A1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