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Coupe de façade ventilée</w:t>
      </w:r>
    </w:p>
    <w:p>
      <w:r>
        <w:rPr>
          <w:color w:val="716E67"/>
          <w:sz w:val="20"/>
        </w:rPr>
        <w:t>Couches, épaisseurs et largeur finale</w:t>
      </w:r>
    </w:p>
    <w:p>
      <w:r>
        <w:t>Écrire la composition oblige à la connaître, et à vérifier tout de suite ce qu’elle coûte en largeur.</w:t>
      </w:r>
    </w:p>
    <w:p>
      <w:pPr>
        <w:spacing w:before="280" w:after="120"/>
      </w:pPr>
      <w:r>
        <w:rPr>
          <w:b/>
          <w:color w:val="1A3C2A"/>
          <w:sz w:val="23"/>
        </w:rPr>
        <w:t>Composition, de l’intérieur vers l’extérieur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#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Couche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et référence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Épaisseur (mm)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Ossature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Panneau extérieur, si prévu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Pare-pluie ou pare-vent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Lattage vertical, lame d’air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Contre-lattage horizontal, si bardage vertical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Bardage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Épaisseur totale, par côté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Largeur finale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Ligne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de l’ossature, hors tout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Épaisseur de façade, côté gauche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Épaisseur de façade, côté droit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finie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Marge sous 2 550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Un bardage vertical impose un double lattage : environ 27 mm de plus par côté, soit 54 mm de largeur intérieure en moins. Cela se décide avant l’ossature.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Coupe horizontale de la paroi</w:t>
      </w:r>
    </w:p>
    <w:p>
      <w:r>
        <w:rPr>
          <w:i/>
          <w:color w:val="716E67"/>
          <w:sz w:val="16"/>
        </w:rPr>
        <w:t>Un carreau vaut 1 cm. Dessinez les six couches, puis cotez l’épaisseur totale.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Pied de façade, en coupe</w:t>
      </w:r>
    </w:p>
    <w:p>
      <w:r>
        <w:rPr>
          <w:i/>
          <w:color w:val="716E67"/>
          <w:sz w:val="16"/>
        </w:rPr>
        <w:t>Un carreau vaut 1 cm. Où l’eau sort, où l’air entre, où la grille est posée, comment la rive du plancher est protégée.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THS-07A · Coupe de façade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THS-07A    </w:t>
    </w:r>
    <w:r>
      <w:rPr>
        <w:color w:val="716E67"/>
        <w:sz w:val="16"/>
      </w:rPr>
      <w:t>Chapitre 7 — Pare-pluie et lame d’air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