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40"/>
      </w:pPr>
      <w:r>
        <w:rPr>
          <w:b/>
          <w:color w:val="161A15"/>
          <w:sz w:val="40"/>
        </w:rPr>
        <w:t>Pose du pare-pluie</w:t>
      </w:r>
    </w:p>
    <w:p>
      <w:r>
        <w:rPr>
          <w:color w:val="716E67"/>
          <w:sz w:val="20"/>
        </w:rPr>
        <w:t>Produit, recouvrements, raccords et date limite</w:t>
      </w:r>
    </w:p>
    <w:p>
      <w:r>
        <w:t>Les neuf premières lignes se recopient depuis la fiche technique du produit. Si l’une reste vide, le produit n’est pas encore choisi.</w:t>
      </w:r>
    </w:p>
    <w:p>
      <w:pPr>
        <w:spacing w:before="280" w:after="120"/>
      </w:pPr>
      <w:r>
        <w:rPr>
          <w:b/>
          <w:color w:val="1A3C2A"/>
          <w:sz w:val="23"/>
        </w:rPr>
        <w:t>Le produit</w:t>
      </w:r>
    </w:p>
    <w:p>
      <w:pPr>
        <w:spacing w:after="40"/>
      </w:pPr>
      <w:r>
        <w:rPr>
          <w:color w:val="716E67"/>
          <w:sz w:val="17"/>
        </w:rPr>
        <w:t>Produit, fabricant et référence</w:t>
      </w:r>
    </w:p>
    <w:p>
      <w:pPr>
        <w:spacing w:after="200" w:before="160"/>
        <w:pBdr>
          <w:bottom w:val="single" w:sz="4" w:space="1" w:color="D5D2CA"/>
        </w:pBdr>
      </w:pPr>
    </w:p>
    <w:p>
      <w:pPr>
        <w:spacing w:after="40"/>
      </w:pPr>
      <w:r>
        <w:rPr>
          <w:color w:val="716E67"/>
          <w:sz w:val="17"/>
        </w:rPr>
        <w:t>Usage en façade confirmé par la fiche : oui / non</w:t>
      </w:r>
    </w:p>
    <w:p>
      <w:pPr>
        <w:spacing w:after="200" w:before="160"/>
        <w:pBdr>
          <w:bottom w:val="single" w:sz="4" w:space="1" w:color="D5D2CA"/>
        </w:pBdr>
      </w:pPr>
    </w:p>
    <w:p>
      <w:pPr>
        <w:spacing w:after="40"/>
      </w:pPr>
      <w:r>
        <w:rPr>
          <w:color w:val="716E67"/>
          <w:sz w:val="17"/>
        </w:rPr>
        <w:t>Pare-pluie, pare-vent, ou les deux</w:t>
      </w:r>
    </w:p>
    <w:p>
      <w:pPr>
        <w:spacing w:after="200" w:before="160"/>
        <w:pBdr>
          <w:bottom w:val="single" w:sz="4" w:space="1" w:color="D5D2CA"/>
        </w:pBdr>
      </w:pPr>
    </w:p>
    <w:p>
      <w:pPr>
        <w:spacing w:after="40"/>
      </w:pPr>
      <w:r>
        <w:rPr>
          <w:color w:val="716E67"/>
          <w:sz w:val="17"/>
        </w:rPr>
        <w:t>Largeur de recouvrement demandée (mm)</w:t>
      </w:r>
    </w:p>
    <w:p>
      <w:pPr>
        <w:spacing w:after="200" w:before="160"/>
        <w:pBdr>
          <w:bottom w:val="single" w:sz="4" w:space="1" w:color="D5D2CA"/>
        </w:pBdr>
      </w:pPr>
    </w:p>
    <w:p>
      <w:pPr>
        <w:spacing w:after="40"/>
      </w:pPr>
      <w:r>
        <w:rPr>
          <w:color w:val="716E67"/>
          <w:sz w:val="17"/>
        </w:rPr>
        <w:t>Recouvrements à coller : oui / non, avec quel produit</w:t>
      </w:r>
    </w:p>
    <w:p>
      <w:pPr>
        <w:spacing w:after="200" w:before="160"/>
        <w:pBdr>
          <w:bottom w:val="single" w:sz="4" w:space="1" w:color="D5D2CA"/>
        </w:pBdr>
      </w:pPr>
    </w:p>
    <w:p>
      <w:pPr>
        <w:spacing w:after="40"/>
      </w:pPr>
      <w:r>
        <w:rPr>
          <w:color w:val="716E67"/>
          <w:sz w:val="17"/>
        </w:rPr>
        <w:t>Rubans et colles compatibles, références</w:t>
      </w:r>
    </w:p>
    <w:p>
      <w:pPr>
        <w:spacing w:after="200" w:before="160"/>
        <w:pBdr>
          <w:bottom w:val="single" w:sz="4" w:space="1" w:color="D5D2CA"/>
        </w:pBdr>
      </w:pPr>
    </w:p>
    <w:p>
      <w:pPr>
        <w:spacing w:after="40"/>
      </w:pPr>
      <w:r>
        <w:rPr>
          <w:color w:val="716E67"/>
          <w:sz w:val="17"/>
        </w:rPr>
        <w:t>Admis derrière un bardage à joints ouverts : oui / non, largeur de joint max (mm)</w:t>
      </w:r>
    </w:p>
    <w:p>
      <w:pPr>
        <w:spacing w:after="200" w:before="160"/>
        <w:pBdr>
          <w:bottom w:val="single" w:sz="4" w:space="1" w:color="D5D2CA"/>
        </w:pBdr>
      </w:pPr>
    </w:p>
    <w:p>
      <w:pPr>
        <w:spacing w:after="40"/>
      </w:pPr>
      <w:r>
        <w:rPr>
          <w:color w:val="716E67"/>
          <w:sz w:val="17"/>
        </w:rPr>
        <w:t>Résistance aux UV annoncée</w:t>
      </w:r>
    </w:p>
    <w:p>
      <w:pPr>
        <w:spacing w:after="200" w:before="160"/>
        <w:pBdr>
          <w:bottom w:val="single" w:sz="4" w:space="1" w:color="D5D2CA"/>
        </w:pBdr>
      </w:pPr>
    </w:p>
    <w:p>
      <w:pPr>
        <w:spacing w:after="40"/>
      </w:pPr>
      <w:r>
        <w:rPr>
          <w:color w:val="716E67"/>
          <w:sz w:val="17"/>
        </w:rPr>
        <w:t>Températures de pose admises</w:t>
      </w:r>
    </w:p>
    <w:p>
      <w:pPr>
        <w:spacing w:after="200" w:before="160"/>
        <w:pBdr>
          <w:bottom w:val="single" w:sz="4" w:space="1" w:color="D5D2CA"/>
        </w:pBdr>
      </w:pPr>
    </w:p>
    <w:p>
      <w:pPr>
        <w:spacing w:before="280" w:after="120"/>
      </w:pPr>
      <w:r>
        <w:rPr>
          <w:b/>
          <w:color w:val="1A3C2A"/>
          <w:sz w:val="23"/>
        </w:rPr>
        <w:t>L’exposition, à ne pas dépasser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819"/>
        <w:gridCol w:w="4819"/>
      </w:tblGrid>
      <w:tr>
        <w:tc>
          <w:tcPr>
            <w:tcW w:type="dxa" w:w="4819"/>
            <w:shd w:val="clear" w:fill="F6F3EC"/>
          </w:tcPr>
          <w:p>
            <w:r/>
            <w:r>
              <w:rPr>
                <w:b/>
                <w:color w:val="1A3C2A"/>
                <w:sz w:val="16"/>
              </w:rPr>
              <w:t>Ligne</w:t>
            </w:r>
          </w:p>
        </w:tc>
        <w:tc>
          <w:tcPr>
            <w:tcW w:type="dxa" w:w="4819"/>
            <w:shd w:val="clear" w:fill="F6F3EC"/>
          </w:tcPr>
          <w:p>
            <w:r/>
            <w:r>
              <w:rPr>
                <w:b/>
                <w:color w:val="1A3C2A"/>
                <w:sz w:val="16"/>
              </w:rPr>
              <w:t>Valeur</w:t>
            </w:r>
          </w:p>
        </w:tc>
      </w:tr>
      <w:tr>
        <w:tc>
          <w:tcPr>
            <w:tcW w:type="dxa" w:w="4819"/>
          </w:tcPr>
          <w:p>
            <w:r/>
            <w:r>
              <w:rPr>
                <w:sz w:val="16"/>
              </w:rPr>
              <w:t>Durée maximale d’exposition annoncée</w:t>
            </w:r>
          </w:p>
        </w:tc>
        <w:tc>
          <w:tcPr>
            <w:tcW w:type="dxa" w:w="4819"/>
          </w:tcPr>
          <w:p>
            <w:r/>
            <w:r>
              <w:rPr>
                <w:sz w:val="16"/>
              </w:rPr>
            </w:r>
          </w:p>
        </w:tc>
      </w:tr>
      <w:tr>
        <w:tc>
          <w:tcPr>
            <w:tcW w:type="dxa" w:w="4819"/>
          </w:tcPr>
          <w:p>
            <w:r/>
            <w:r>
              <w:rPr>
                <w:sz w:val="16"/>
              </w:rPr>
              <w:t>Date de pose</w:t>
            </w:r>
          </w:p>
        </w:tc>
        <w:tc>
          <w:tcPr>
            <w:tcW w:type="dxa" w:w="4819"/>
          </w:tcPr>
          <w:p>
            <w:r/>
            <w:r>
              <w:rPr>
                <w:sz w:val="16"/>
              </w:rPr>
            </w:r>
          </w:p>
        </w:tc>
      </w:tr>
      <w:tr>
        <w:tc>
          <w:tcPr>
            <w:tcW w:type="dxa" w:w="4819"/>
          </w:tcPr>
          <w:p>
            <w:r/>
            <w:r>
              <w:rPr>
                <w:sz w:val="16"/>
              </w:rPr>
              <w:t>Date limite de recouvrement</w:t>
            </w:r>
          </w:p>
        </w:tc>
        <w:tc>
          <w:tcPr>
            <w:tcW w:type="dxa" w:w="4819"/>
          </w:tcPr>
          <w:p>
            <w:r/>
            <w:r>
              <w:rPr>
                <w:sz w:val="16"/>
              </w:rPr>
            </w:r>
          </w:p>
        </w:tc>
      </w:tr>
    </w:tbl>
    <w:p>
      <w:r>
        <w:rPr>
          <w:b/>
          <w:color w:val="1A3C2A"/>
        </w:rPr>
        <w:t>Inscrivez la date limite sur la façade elle-même, au crayon. Personne ne relit une fiche technique six mois plus tard.</w:t>
      </w:r>
    </w:p>
    <w:p>
      <w:r>
        <w:br w:type="page"/>
      </w:r>
    </w:p>
    <w:p>
      <w:pPr>
        <w:spacing w:before="280" w:after="120"/>
      </w:pPr>
      <w:r>
        <w:rPr>
          <w:b/>
          <w:color w:val="1A3C2A"/>
          <w:sz w:val="23"/>
        </w:rPr>
        <w:t>Pose, façade par façade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928"/>
        <w:gridCol w:w="1928"/>
        <w:gridCol w:w="1928"/>
        <w:gridCol w:w="1928"/>
        <w:gridCol w:w="1928"/>
      </w:tblGrid>
      <w:tr>
        <w:tc>
          <w:tcPr>
            <w:tcW w:type="dxa" w:w="1928"/>
            <w:shd w:val="clear" w:fill="F6F3EC"/>
          </w:tcPr>
          <w:p>
            <w:r/>
            <w:r>
              <w:rPr>
                <w:b/>
                <w:color w:val="1A3C2A"/>
                <w:sz w:val="16"/>
              </w:rPr>
              <w:t>Façade</w:t>
            </w:r>
          </w:p>
        </w:tc>
        <w:tc>
          <w:tcPr>
            <w:tcW w:type="dxa" w:w="1928"/>
            <w:shd w:val="clear" w:fill="F6F3EC"/>
          </w:tcPr>
          <w:p>
            <w:r/>
            <w:r>
              <w:rPr>
                <w:b/>
                <w:color w:val="1A3C2A"/>
                <w:sz w:val="16"/>
              </w:rPr>
              <w:t>Sens de pose respecté</w:t>
            </w:r>
          </w:p>
        </w:tc>
        <w:tc>
          <w:tcPr>
            <w:tcW w:type="dxa" w:w="1928"/>
            <w:shd w:val="clear" w:fill="F6F3EC"/>
          </w:tcPr>
          <w:p>
            <w:r/>
            <w:r>
              <w:rPr>
                <w:b/>
                <w:color w:val="1A3C2A"/>
                <w:sz w:val="16"/>
              </w:rPr>
              <w:t>Recouvrements conformes</w:t>
            </w:r>
          </w:p>
        </w:tc>
        <w:tc>
          <w:tcPr>
            <w:tcW w:type="dxa" w:w="1928"/>
            <w:shd w:val="clear" w:fill="F6F3EC"/>
          </w:tcPr>
          <w:p>
            <w:r/>
            <w:r>
              <w:rPr>
                <w:b/>
                <w:color w:val="1A3C2A"/>
                <w:sz w:val="16"/>
              </w:rPr>
              <w:t>Raccords collés</w:t>
            </w:r>
          </w:p>
        </w:tc>
        <w:tc>
          <w:tcPr>
            <w:tcW w:type="dxa" w:w="1928"/>
            <w:shd w:val="clear" w:fill="F6F3EC"/>
          </w:tcPr>
          <w:p>
            <w:r/>
            <w:r>
              <w:rPr>
                <w:b/>
                <w:color w:val="1A3C2A"/>
                <w:sz w:val="16"/>
              </w:rPr>
              <w:t>Date</w:t>
            </w:r>
          </w:p>
        </w:tc>
      </w:tr>
      <w:tr>
        <w:tc>
          <w:tcPr>
            <w:tcW w:type="dxa" w:w="1928"/>
          </w:tcPr>
          <w:p>
            <w:r/>
            <w:r>
              <w:rPr>
                <w:sz w:val="16"/>
              </w:rPr>
              <w:t>Avant</w:t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</w:tr>
      <w:tr>
        <w:tc>
          <w:tcPr>
            <w:tcW w:type="dxa" w:w="1928"/>
          </w:tcPr>
          <w:p>
            <w:r/>
            <w:r>
              <w:rPr>
                <w:sz w:val="16"/>
              </w:rPr>
              <w:t>Arrière</w:t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</w:tr>
      <w:tr>
        <w:tc>
          <w:tcPr>
            <w:tcW w:type="dxa" w:w="1928"/>
          </w:tcPr>
          <w:p>
            <w:r/>
            <w:r>
              <w:rPr>
                <w:sz w:val="16"/>
              </w:rPr>
              <w:t>Gauche</w:t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</w:tr>
      <w:tr>
        <w:tc>
          <w:tcPr>
            <w:tcW w:type="dxa" w:w="1928"/>
          </w:tcPr>
          <w:p>
            <w:r/>
            <w:r>
              <w:rPr>
                <w:sz w:val="16"/>
              </w:rPr>
              <w:t>Droite</w:t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</w:tr>
    </w:tbl>
    <w:p>
      <w:pPr>
        <w:spacing w:before="280" w:after="120"/>
      </w:pPr>
      <w:r>
        <w:rPr>
          <w:b/>
          <w:color w:val="1A3C2A"/>
          <w:sz w:val="23"/>
        </w:rPr>
        <w:t>Raccords sensibles</w:t>
      </w:r>
    </w:p>
    <w:p>
      <w:pPr>
        <w:spacing w:after="120"/>
      </w:pPr>
      <w:r>
        <w:rPr>
          <w:sz w:val="24"/>
        </w:rPr>
        <w:t xml:space="preserve">☐  </w:t>
      </w:r>
      <w:r>
        <w:t>Chaque lé supérieur recouvre le lé inférieur, pas l’inverse.</w:t>
      </w:r>
    </w:p>
    <w:p>
      <w:pPr>
        <w:spacing w:after="120"/>
      </w:pPr>
      <w:r>
        <w:rPr>
          <w:sz w:val="24"/>
        </w:rPr>
        <w:t xml:space="preserve">☐  </w:t>
      </w:r>
      <w:r>
        <w:t>Aucune coupure exactement sur l’arête d’un angle.</w:t>
      </w:r>
    </w:p>
    <w:p>
      <w:pPr>
        <w:spacing w:after="120"/>
      </w:pPr>
      <w:r>
        <w:rPr>
          <w:sz w:val="24"/>
        </w:rPr>
        <w:t xml:space="preserve">☐  </w:t>
      </w:r>
      <w:r>
        <w:t>Membrane continue autour des angles, ou recouvrement suffisant.</w:t>
      </w:r>
    </w:p>
    <w:p>
      <w:pPr>
        <w:spacing w:after="120"/>
      </w:pPr>
      <w:r>
        <w:rPr>
          <w:sz w:val="24"/>
        </w:rPr>
        <w:t xml:space="preserve">☐  </w:t>
      </w:r>
      <w:r>
        <w:t>Raccord bas terminé, avec sortie d’eau et non cuvette.</w:t>
      </w:r>
    </w:p>
    <w:p>
      <w:pPr>
        <w:spacing w:after="120"/>
      </w:pPr>
      <w:r>
        <w:rPr>
          <w:sz w:val="24"/>
        </w:rPr>
        <w:t xml:space="preserve">☐  </w:t>
      </w:r>
      <w:r>
        <w:t>Raccord haut terminé, sans eau de toiture envoyée derrière le bardage.</w:t>
      </w:r>
    </w:p>
    <w:p>
      <w:pPr>
        <w:spacing w:after="120"/>
      </w:pPr>
      <w:r>
        <w:rPr>
          <w:sz w:val="24"/>
        </w:rPr>
        <w:t xml:space="preserve">☐  </w:t>
      </w:r>
      <w:r>
        <w:t>Tours de fenêtres traités, avec retours et bavettes.</w:t>
      </w:r>
    </w:p>
    <w:p>
      <w:pPr>
        <w:spacing w:after="120"/>
      </w:pPr>
      <w:r>
        <w:rPr>
          <w:sz w:val="24"/>
        </w:rPr>
        <w:t xml:space="preserve">☐  </w:t>
      </w:r>
      <w:r>
        <w:t>Rubans pressés au rouleau, sur support propre et sec.</w:t>
      </w:r>
    </w:p>
    <w:p>
      <w:pPr>
        <w:spacing w:after="120"/>
      </w:pPr>
      <w:r>
        <w:rPr>
          <w:sz w:val="24"/>
        </w:rPr>
        <w:t xml:space="preserve">☐  </w:t>
      </w:r>
      <w:r>
        <w:t>Aucune déchirure laissée en attente.</w:t>
      </w:r>
    </w:p>
    <w:p>
      <w:r>
        <w:rPr>
          <w:b/>
          <w:color w:val="1A3C2A"/>
        </w:rPr>
        <w:t>Le test : si le ruban disparaissait, dans quelle direction l’eau irait-elle ? La géométrie doit être juste avant le collage.</w:t>
      </w:r>
    </w:p>
    <w:p>
      <w:pPr>
        <w:spacing w:after="40"/>
      </w:pPr>
      <w:r>
        <w:rPr>
          <w:color w:val="716E67"/>
          <w:sz w:val="17"/>
        </w:rPr>
        <w:t>Pare-pluie terminé le, par</w:t>
      </w:r>
    </w:p>
    <w:p>
      <w:pPr>
        <w:spacing w:after="200" w:before="160"/>
        <w:pBdr>
          <w:bottom w:val="single" w:sz="4" w:space="1" w:color="D5D2CA"/>
        </w:pBdr>
      </w:pPr>
    </w:p>
    <w:p>
      <w:pPr>
        <w:spacing w:before="320"/>
      </w:pPr>
      <w:r>
        <w:rPr>
          <w:color w:val="716E67"/>
          <w:sz w:val="15"/>
        </w:rPr>
        <w:t>Document préparé par Tiny House Suisse — reproduction libre pour usage personnel.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1134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color w:val="716E67"/>
        <w:sz w:val="14"/>
      </w:rPr>
      <w:t>THS-07B · Pose du pare-pluie · Tiny House Suisse — Guide d’autoconstruction  ·  www.tinyhousesuisse.ch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left"/>
    </w:pPr>
    <w:r>
      <w:rPr>
        <w:b/>
        <w:color w:val="1A3C2A"/>
        <w:sz w:val="16"/>
      </w:rPr>
      <w:t xml:space="preserve">THS-07B    </w:t>
    </w:r>
    <w:r>
      <w:rPr>
        <w:color w:val="716E67"/>
        <w:sz w:val="16"/>
      </w:rPr>
      <w:t>Chapitre 7 — Pare-pluie et lame d’air</w:t>
    </w:r>
    <w:r>
      <w:tab/>
      <w:tab/>
    </w:r>
    <w:r>
      <w:drawing>
        <wp:inline xmlns:a="http://schemas.openxmlformats.org/drawingml/2006/main" xmlns:pic="http://schemas.openxmlformats.org/drawingml/2006/picture">
          <wp:extent cx="396000" cy="396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96000" cy="396000"/>
                  </a:xfrm>
                  <a:prstGeom prst="rect"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color w:val="161A15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