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avant bardage</w:t>
      </w:r>
    </w:p>
    <w:p>
      <w:r>
        <w:rPr>
          <w:color w:val="716E67"/>
          <w:sz w:val="20"/>
        </w:rPr>
        <w:t>À signer avant que le revêtement ne cache tout</w:t>
      </w:r>
    </w:p>
    <w:p>
      <w:r>
        <w:t>Le test qui résume le chapitre : si vous ne pouvez pas suivre le trajet d’une goutte d’eau du haut de la façade jusqu’à sa sortie en pied, ne posez pas le bardage.</w:t>
      </w:r>
    </w:p>
    <w:p>
      <w:pPr>
        <w:spacing w:before="280" w:after="120"/>
      </w:pPr>
      <w:r>
        <w:rPr>
          <w:b/>
          <w:color w:val="1A3C2A"/>
          <w:sz w:val="23"/>
        </w:rPr>
        <w:t>Le produit et son délai</w:t>
      </w:r>
    </w:p>
    <w:p>
      <w:pPr>
        <w:spacing w:after="40"/>
      </w:pPr>
      <w:r>
        <w:rPr>
          <w:color w:val="716E67"/>
          <w:sz w:val="17"/>
        </w:rPr>
        <w:t>Pare-pluie ou panneau utilisé, et référence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Usage façade confirmé, et compatibilité bardage ajouré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pose et date limite de recouvrement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Contrôles</w:t>
      </w:r>
    </w:p>
    <w:p>
      <w:pPr>
        <w:spacing w:after="120"/>
      </w:pPr>
      <w:r>
        <w:rPr>
          <w:sz w:val="24"/>
        </w:rPr>
        <w:t xml:space="preserve">☐  </w:t>
      </w:r>
      <w:r>
        <w:t>Recouvrements conformes à la prescription du fabricant.</w:t>
      </w:r>
    </w:p>
    <w:p>
      <w:pPr>
        <w:spacing w:after="120"/>
      </w:pPr>
      <w:r>
        <w:rPr>
          <w:sz w:val="24"/>
        </w:rPr>
        <w:t xml:space="preserve">☐  </w:t>
      </w:r>
      <w:r>
        <w:t>Raccord bas terminé, avec sortie d’eau.</w:t>
      </w:r>
    </w:p>
    <w:p>
      <w:pPr>
        <w:spacing w:after="120"/>
      </w:pPr>
      <w:r>
        <w:rPr>
          <w:sz w:val="24"/>
        </w:rPr>
        <w:t xml:space="preserve">☐  </w:t>
      </w:r>
      <w:r>
        <w:t>Raccord avec la toiture terminé.</w:t>
      </w:r>
    </w:p>
    <w:p>
      <w:pPr>
        <w:spacing w:after="120"/>
      </w:pPr>
      <w:r>
        <w:rPr>
          <w:sz w:val="24"/>
        </w:rPr>
        <w:t xml:space="preserve">☐  </w:t>
      </w:r>
      <w:r>
        <w:t>Angles contrôlés, membrane continue.</w:t>
      </w:r>
    </w:p>
    <w:p>
      <w:pPr>
        <w:spacing w:after="120"/>
      </w:pPr>
      <w:r>
        <w:rPr>
          <w:sz w:val="24"/>
        </w:rPr>
        <w:t xml:space="preserve">☐  </w:t>
      </w:r>
      <w:r>
        <w:t>Épaisseur de lame d’air conforme au système.</w:t>
      </w:r>
    </w:p>
    <w:p>
      <w:pPr>
        <w:spacing w:after="120"/>
      </w:pPr>
      <w:r>
        <w:rPr>
          <w:sz w:val="24"/>
        </w:rPr>
        <w:t xml:space="preserve">☐  </w:t>
      </w:r>
      <w:r>
        <w:t>Entrée basse continue sur les quatre façades.</w:t>
      </w:r>
    </w:p>
    <w:p>
      <w:pPr>
        <w:spacing w:after="120"/>
      </w:pPr>
      <w:r>
        <w:rPr>
          <w:sz w:val="24"/>
        </w:rPr>
        <w:t xml:space="preserve">☐  </w:t>
      </w:r>
      <w:r>
        <w:t>Sortie haute continue sur les quatre façades.</w:t>
      </w:r>
    </w:p>
    <w:p>
      <w:pPr>
        <w:spacing w:after="120"/>
      </w:pPr>
      <w:r>
        <w:rPr>
          <w:sz w:val="24"/>
        </w:rPr>
        <w:t xml:space="preserve">☐  </w:t>
      </w:r>
      <w:r>
        <w:t>Grilles anti-insectes posées, sans obturer.</w:t>
      </w:r>
    </w:p>
    <w:p>
      <w:pPr>
        <w:spacing w:after="120"/>
      </w:pPr>
      <w:r>
        <w:rPr>
          <w:sz w:val="24"/>
        </w:rPr>
        <w:t xml:space="preserve">☐  </w:t>
      </w:r>
      <w:r>
        <w:t>Lattage simple ou double conforme au type de bardage.</w:t>
      </w:r>
    </w:p>
    <w:p>
      <w:pPr>
        <w:spacing w:after="120"/>
      </w:pPr>
      <w:r>
        <w:rPr>
          <w:sz w:val="24"/>
        </w:rPr>
        <w:t xml:space="preserve">☐  </w:t>
      </w:r>
      <w:r>
        <w:t>Fenêtres préparées, bavettes prévues.</w:t>
      </w:r>
    </w:p>
    <w:p>
      <w:pPr>
        <w:spacing w:after="120"/>
      </w:pPr>
      <w:r>
        <w:rPr>
          <w:sz w:val="24"/>
        </w:rPr>
        <w:t xml:space="preserve">☐  </w:t>
      </w:r>
      <w:r>
        <w:t>Toutes les traversées de THS-07D sont repérées et traitées.</w:t>
      </w:r>
    </w:p>
    <w:p>
      <w:pPr>
        <w:spacing w:after="120"/>
      </w:pPr>
      <w:r>
        <w:rPr>
          <w:sz w:val="24"/>
        </w:rPr>
        <w:t xml:space="preserve">☐  </w:t>
      </w:r>
      <w:r>
        <w:t>Photos prises façade par façade, avec un mètre visible.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Le trajet de la goutte d’eau</w:t>
      </w:r>
    </w:p>
    <w:p>
      <w:r>
        <w:rPr>
          <w:i/>
          <w:color w:val="716E67"/>
          <w:sz w:val="16"/>
        </w:rPr>
        <w:t>Décrivez-le par écrit, façade par façade. Une case qu’on ne sait pas remplir est un détail qui n’existe pas.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Elle arrive sur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Elle est renvoyée par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Elle sort en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Avant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Arrière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Gauche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Droite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Largeur finale, vérifiée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Mesure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mesurée au point le plus large, lattage compris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Épaisseur du bardage à venir, par côté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finie prévisible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sous 2 550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Contrôlé par,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Réserves levées avant le bardage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THS-07E · Contrôle avant bardage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THS-07E    </w:t>
    </w:r>
    <w:r>
      <w:rPr>
        <w:color w:val="716E67"/>
        <w:sz w:val="16"/>
      </w:rPr>
      <w:t>Chapitre 7 — Pare-pluie et lame d’air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