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Contrôle de pose</w:t>
      </w:r>
    </w:p>
    <w:p>
      <w:r>
        <w:rPr>
          <w:color w:val="716E67"/>
          <w:sz w:val="20"/>
        </w:rPr>
        <w:t>Une fiche par menuiserie, du calage au fonctionnement</w:t>
      </w:r>
    </w:p>
    <w:p>
      <w:r>
        <w:t>Imprimez une page par fenêtre. Rien ne se pose de mémoire, et rien ne se vérifie après l’habillage.</w:t>
      </w:r>
    </w:p>
    <w:p>
      <w:pPr>
        <w:spacing w:before="280" w:after="120"/>
      </w:pPr>
      <w:r>
        <w:rPr>
          <w:b/>
          <w:color w:val="1A3C2A"/>
          <w:sz w:val="23"/>
        </w:rPr>
        <w:t>La menuiserie</w:t>
      </w:r>
    </w:p>
    <w:p>
      <w:pPr>
        <w:spacing w:after="40"/>
      </w:pPr>
      <w:r>
        <w:rPr>
          <w:color w:val="716E67"/>
          <w:sz w:val="17"/>
        </w:rPr>
        <w:t>Repère et emplacement dans la maison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Produit, référence et sens d’ouverture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Dimensions hors tout du cadre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Type de vitrage et masse annoncée (kg)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La réservation, mesurée avant la pose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Contrôle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Valeur (mm)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Largeur de réservation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Hauteur de réservation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Jeu gauche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Jeu droit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Jeu haut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Jeu bas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Diagonale A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Diagonale B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Écart entre diagonales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Si les diagonales diffèrent nettement, corrigez l’ossature avant de poser. Une menuiserie ne remet pas un mur d’équerre.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Le cadre posé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Contrôle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Valeur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Conforme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Horizontalité de la traverse basse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Aplomb du montant gauche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Aplomb du montant droit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Largeur en haut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Largeur au milieu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Largeur en bas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Diagonales du cadre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Contrôles</w:t>
      </w:r>
    </w:p>
    <w:p>
      <w:pPr>
        <w:spacing w:after="120"/>
      </w:pPr>
      <w:r>
        <w:rPr>
          <w:sz w:val="24"/>
        </w:rPr>
        <w:t xml:space="preserve">☐  </w:t>
      </w:r>
      <w:r>
        <w:t>Cales porteuses en place, aux emplacements prescrits.</w:t>
      </w:r>
    </w:p>
    <w:p>
      <w:pPr>
        <w:spacing w:after="120"/>
      </w:pPr>
      <w:r>
        <w:rPr>
          <w:sz w:val="24"/>
        </w:rPr>
        <w:t xml:space="preserve">☐  </w:t>
      </w:r>
      <w:r>
        <w:t>Cales de réglage distinctes des cales porteuses.</w:t>
      </w:r>
    </w:p>
    <w:p>
      <w:pPr>
        <w:spacing w:after="120"/>
      </w:pPr>
      <w:r>
        <w:rPr>
          <w:sz w:val="24"/>
        </w:rPr>
        <w:t xml:space="preserve">☐  </w:t>
      </w:r>
      <w:r>
        <w:t>Fixations conformes au type et à l’espacement du fabricant.</w:t>
      </w:r>
    </w:p>
    <w:p>
      <w:pPr>
        <w:spacing w:after="120"/>
      </w:pPr>
      <w:r>
        <w:rPr>
          <w:sz w:val="24"/>
        </w:rPr>
        <w:t xml:space="preserve">☐  </w:t>
      </w:r>
      <w:r>
        <w:t>Aucune vis serrée au point de déformer le profil.</w:t>
      </w:r>
    </w:p>
    <w:p>
      <w:pPr>
        <w:spacing w:after="120"/>
      </w:pPr>
      <w:r>
        <w:rPr>
          <w:sz w:val="24"/>
        </w:rPr>
        <w:t xml:space="preserve">☐  </w:t>
      </w:r>
      <w:r>
        <w:t>Ouvrant manoeuvré plusieurs fois, fonctionnement normal.</w:t>
      </w:r>
    </w:p>
    <w:p>
      <w:pPr>
        <w:spacing w:after="120"/>
      </w:pPr>
      <w:r>
        <w:rPr>
          <w:sz w:val="24"/>
        </w:rPr>
        <w:t xml:space="preserve">☐  </w:t>
      </w:r>
      <w:r>
        <w:t>Joint central isolé, sans vide et sans déformation du cadre.</w:t>
      </w:r>
    </w:p>
    <w:p>
      <w:pPr>
        <w:spacing w:after="120"/>
      </w:pPr>
      <w:r>
        <w:rPr>
          <w:sz w:val="24"/>
        </w:rPr>
        <w:t xml:space="preserve">☐  </w:t>
      </w:r>
      <w:r>
        <w:t>Étanchéité à l’air intérieure raccordée, continue sur les quatre côtés.</w:t>
      </w:r>
    </w:p>
    <w:p>
      <w:pPr>
        <w:spacing w:after="120"/>
      </w:pPr>
      <w:r>
        <w:rPr>
          <w:sz w:val="24"/>
        </w:rPr>
        <w:t xml:space="preserve">☐  </w:t>
      </w:r>
      <w:r>
        <w:t>Raccord extérieur au pare-pluie terminé, dans le bon sens.</w:t>
      </w:r>
    </w:p>
    <w:p>
      <w:pPr>
        <w:spacing w:after="120"/>
      </w:pPr>
      <w:r>
        <w:rPr>
          <w:sz w:val="24"/>
        </w:rPr>
        <w:t xml:space="preserve">☐  </w:t>
      </w:r>
      <w:r>
        <w:t>Bavette basse posée, avec pente et sortie d’eau.</w:t>
      </w:r>
    </w:p>
    <w:p>
      <w:pPr>
        <w:spacing w:after="120"/>
      </w:pPr>
      <w:r>
        <w:rPr>
          <w:sz w:val="24"/>
        </w:rPr>
        <w:t xml:space="preserve">☐  </w:t>
      </w:r>
      <w:r>
        <w:t>Photos prises, intérieur et extérieur, avant habillage.</w:t>
      </w:r>
    </w:p>
    <w:p>
      <w:pPr>
        <w:spacing w:after="40"/>
      </w:pPr>
      <w:r>
        <w:rPr>
          <w:color w:val="716E67"/>
          <w:sz w:val="17"/>
        </w:rPr>
        <w:t>Posée le, par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Observations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THS-08A · Contrôle de pose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THS-08A    </w:t>
    </w:r>
    <w:r>
      <w:rPr>
        <w:color w:val="716E67"/>
        <w:sz w:val="16"/>
      </w:rPr>
      <w:t>Chapitre 8 — Les menuiseries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