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Die drei Dichtheitsebenen</w:t>
      </w:r>
    </w:p>
    <w:p>
      <w:r>
        <w:rPr>
          <w:color w:val="716E67"/>
          <w:sz w:val="20"/>
        </w:rPr>
        <w:t>Schnitte, vor der Montage zu zeichnen</w:t>
      </w:r>
    </w:p>
    <w:p>
      <w:r>
        <w:t>Wer den Anschluss vor dem Einbau nicht zeichnen kann, improvisiert ihn im schlechtesten Moment. Ein Kästchen entspricht 1 cm.</w:t>
      </w:r>
    </w:p>
    <w:p>
      <w:pPr>
        <w:spacing w:before="280" w:after="120"/>
      </w:pPr>
      <w:r>
        <w:rPr>
          <w:b/>
          <w:color w:val="1A3C2A"/>
          <w:sz w:val="23"/>
        </w:rPr>
        <w:t>Die drei Zonen, Produkt für Produkt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Zone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Funktion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Produkt und Referenz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Innen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Luftdichtheit und Dampf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Mitte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Dämmung der Fuge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Aussen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  <w:t>Regen und Wind, Trocknung möglich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Zu halten: innen dichter als aussen. Eine beidseitig geschlossene Fuge ist eine Falle.</w:t>
      </w:r>
    </w:p>
    <w:p>
      <w:pPr>
        <w:spacing w:before="280" w:after="120"/>
      </w:pPr>
      <w:r>
        <w:rPr>
          <w:b/>
          <w:color w:val="1A3C2A"/>
          <w:sz w:val="23"/>
        </w:rPr>
        <w:t>Vertikalschnitt: Sturz, Rahmen, Brüstung</w:t>
      </w:r>
    </w:p>
    <w:p>
      <w:r>
        <w:rPr>
          <w:i/>
          <w:color w:val="716E67"/>
          <w:sz w:val="16"/>
        </w:rPr>
        <w:t>Zeigen Sie, wo das Wasser oben ankommt, wie es umgeleitet wird und wo es unten austritt.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Horizontalschnitt: Leibung und seitliche Anschlüsse</w:t>
      </w:r>
    </w:p>
    <w:p>
      <w:r>
        <w:rPr>
          <w:i/>
          <w:color w:val="716E67"/>
          <w:sz w:val="16"/>
        </w:rPr>
        <w:t>Lage des Fensters in der Wanddicke, Anschluss an die Dämmung, Durchgängigkeit der Luftdichtheit.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Gewählte Lage in der Wanddicke</w:t>
      </w:r>
    </w:p>
    <w:p>
      <w:pPr>
        <w:spacing w:after="120"/>
      </w:pPr>
      <w:r>
        <w:rPr>
          <w:sz w:val="24"/>
        </w:rPr>
        <w:t xml:space="preserve">☐  </w:t>
      </w:r>
      <w:r>
        <w:t>Innen in der Konstruktion</w:t>
      </w:r>
    </w:p>
    <w:p>
      <w:pPr>
        <w:spacing w:after="120"/>
      </w:pPr>
      <w:r>
        <w:rPr>
          <w:sz w:val="24"/>
        </w:rPr>
        <w:t xml:space="preserve">☐  </w:t>
      </w:r>
      <w:r>
        <w:t>In der Dicke der Konstruktion</w:t>
      </w:r>
    </w:p>
    <w:p>
      <w:pPr>
        <w:spacing w:after="120"/>
      </w:pPr>
      <w:r>
        <w:rPr>
          <w:sz w:val="24"/>
        </w:rPr>
        <w:t xml:space="preserve">☐  </w:t>
      </w:r>
      <w:r>
        <w:t>Nahe der Aussenebene</w:t>
      </w:r>
    </w:p>
    <w:p>
      <w:pPr>
        <w:spacing w:after="40"/>
      </w:pPr>
      <w:r>
        <w:rPr>
          <w:color w:val="716E67"/>
          <w:sz w:val="17"/>
        </w:rPr>
        <w:t>Warum diese Lage, und Folge für die Wärmebrücke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Daraus folgende Tiefe der inneren Leibungen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THS-08B · Drei Dichtheitsebenen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THS-08B    </w:t>
    </w:r>
    <w:r>
      <w:rPr>
        <w:color w:val="716E67"/>
        <w:sz w:val="16"/>
      </w:rPr>
      <w:t>Kapitel 8 — Fenster und Türen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