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Les trois niveaux d’étanchéité</w:t>
      </w:r>
    </w:p>
    <w:p>
      <w:r>
        <w:rPr>
          <w:color w:val="716E67"/>
          <w:sz w:val="20"/>
        </w:rPr>
        <w:t>Coupes à dessiner avant de poser la menuiserie</w:t>
      </w:r>
    </w:p>
    <w:p>
      <w:r>
        <w:t>Si vous ne savez pas dessiner le raccord avant d’installer la fenêtre, vous l’improviserez au pire moment. Un carreau vaut 1 cm.</w:t>
      </w:r>
    </w:p>
    <w:p>
      <w:pPr>
        <w:spacing w:before="280" w:after="120"/>
      </w:pPr>
      <w:r>
        <w:rPr>
          <w:b/>
          <w:color w:val="1A3C2A"/>
          <w:sz w:val="23"/>
        </w:rPr>
        <w:t>Les trois zones, produit par produit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Zone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Fonction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référence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Intérieur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Étanchéité à l’air et vapeur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Milieu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Isolation du joint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Extérieur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Pluie et vent, séchage possible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Règle à tenir : intérieur plus étanche que l’extérieur. Un joint fermé des deux côtés est un piège.</w:t>
      </w:r>
    </w:p>
    <w:p>
      <w:pPr>
        <w:spacing w:before="280" w:after="120"/>
      </w:pPr>
      <w:r>
        <w:rPr>
          <w:b/>
          <w:color w:val="1A3C2A"/>
          <w:sz w:val="23"/>
        </w:rPr>
        <w:t>Coupe verticale : linteau, cadre, appui</w:t>
      </w:r>
    </w:p>
    <w:p>
      <w:r>
        <w:rPr>
          <w:i/>
          <w:color w:val="716E67"/>
          <w:sz w:val="16"/>
        </w:rPr>
        <w:t>Montrez où l’eau arrive au-dessus, comment elle est déviée, et par où elle ressort en pied.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Coupe horizontale : tableau et raccords latéraux</w:t>
      </w:r>
    </w:p>
    <w:p>
      <w:r>
        <w:rPr>
          <w:i/>
          <w:color w:val="716E67"/>
          <w:sz w:val="16"/>
        </w:rPr>
        <w:t>Position de la fenêtre dans l’épaisseur du mur, raccord à l’isolation, continuité de l’étanchéité à l’air.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Position retenue dans l’épaisseur du mur</w:t>
      </w:r>
    </w:p>
    <w:p>
      <w:pPr>
        <w:spacing w:after="120"/>
      </w:pPr>
      <w:r>
        <w:rPr>
          <w:sz w:val="24"/>
        </w:rPr>
        <w:t xml:space="preserve">☐  </w:t>
      </w:r>
      <w:r>
        <w:t>Vers l’intérieur de l’ossature</w:t>
      </w:r>
    </w:p>
    <w:p>
      <w:pPr>
        <w:spacing w:after="120"/>
      </w:pPr>
      <w:r>
        <w:rPr>
          <w:sz w:val="24"/>
        </w:rPr>
        <w:t xml:space="preserve">☐  </w:t>
      </w:r>
      <w:r>
        <w:t>Dans l’épaisseur de l’ossature</w:t>
      </w:r>
    </w:p>
    <w:p>
      <w:pPr>
        <w:spacing w:after="120"/>
      </w:pPr>
      <w:r>
        <w:rPr>
          <w:sz w:val="24"/>
        </w:rPr>
        <w:t xml:space="preserve">☐  </w:t>
      </w:r>
      <w:r>
        <w:t>Près du plan extérieur</w:t>
      </w:r>
    </w:p>
    <w:p>
      <w:pPr>
        <w:spacing w:after="40"/>
      </w:pPr>
      <w:r>
        <w:rPr>
          <w:color w:val="716E67"/>
          <w:sz w:val="17"/>
        </w:rPr>
        <w:t>Pourquoi cette position, et conséquence sur le pont thermique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Profondeur des tableaux intérieurs qui en découle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THS-08B · Trois niveaux d’étanchéité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THS-08B    </w:t>
    </w:r>
    <w:r>
      <w:rPr>
        <w:color w:val="716E67"/>
        <w:sz w:val="16"/>
      </w:rPr>
      <w:t>Chapitre 8 — Les menuiseries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