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habillage</w:t>
      </w:r>
    </w:p>
    <w:p>
      <w:r>
        <w:rPr>
          <w:color w:val="716E67"/>
          <w:sz w:val="20"/>
        </w:rPr>
        <w:t>Le dernier moment où les raccords sont visibles</w:t>
      </w:r>
    </w:p>
    <w:p>
      <w:r>
        <w:t>Un habillage se démonte, mais on ne le démonte jamais : on préfère croire que c’était bon. Contrôlez maintenant.</w:t>
      </w:r>
    </w:p>
    <w:p>
      <w:pPr>
        <w:spacing w:before="280" w:after="120"/>
      </w:pPr>
      <w:r>
        <w:rPr>
          <w:b/>
          <w:color w:val="1A3C2A"/>
          <w:sz w:val="23"/>
        </w:rPr>
        <w:t>À l’extérieur, menuiserie par menuiserie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Bavette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Angles de bavette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Raccord pare-pluie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Partie haute</w:t>
            </w:r>
          </w:p>
        </w:tc>
        <w:tc>
          <w:tcPr>
            <w:tcW w:type="dxa" w:w="1606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Côtés</w:t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606"/>
          </w:tcPr>
          <w:p>
            <w:r/>
            <w:r>
              <w:rPr>
                <w:sz w:val="16"/>
              </w:rPr>
              <w:t>Baie</w:t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606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À l’intérieur</w:t>
      </w:r>
    </w:p>
    <w:p>
      <w:pPr>
        <w:spacing w:after="120"/>
      </w:pPr>
      <w:r>
        <w:rPr>
          <w:sz w:val="24"/>
        </w:rPr>
        <w:t xml:space="preserve">☐  </w:t>
      </w:r>
      <w:r>
        <w:t>Couche étanche à l’air continue sur les quatre côtés de chaque cadre.</w:t>
      </w:r>
    </w:p>
    <w:p>
      <w:pPr>
        <w:spacing w:after="120"/>
      </w:pPr>
      <w:r>
        <w:rPr>
          <w:sz w:val="24"/>
        </w:rPr>
        <w:t xml:space="preserve">☐  </w:t>
      </w:r>
      <w:r>
        <w:t>Angles traités, sans pli ouvert ni manque.</w:t>
      </w:r>
    </w:p>
    <w:p>
      <w:pPr>
        <w:spacing w:after="120"/>
      </w:pPr>
      <w:r>
        <w:rPr>
          <w:sz w:val="24"/>
        </w:rPr>
        <w:t xml:space="preserve">☐  </w:t>
      </w:r>
      <w:r>
        <w:t>Jonction avec la couche du mur réalisée, pas simplement approchée.</w:t>
      </w:r>
    </w:p>
    <w:p>
      <w:pPr>
        <w:spacing w:after="120"/>
      </w:pPr>
      <w:r>
        <w:rPr>
          <w:sz w:val="24"/>
        </w:rPr>
        <w:t xml:space="preserve">☐  </w:t>
      </w:r>
      <w:r>
        <w:t>Aucun trou laissé derrière une cale ou une fixation.</w:t>
      </w:r>
    </w:p>
    <w:p>
      <w:pPr>
        <w:spacing w:after="120"/>
      </w:pPr>
      <w:r>
        <w:rPr>
          <w:sz w:val="24"/>
        </w:rPr>
        <w:t xml:space="preserve">☐  </w:t>
      </w:r>
      <w:r>
        <w:t>Joint central isolé sur tout le pourtour.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Photographies prises</w:t>
      </w:r>
    </w:p>
    <w:p>
      <w:r>
        <w:rPr>
          <w:i/>
          <w:color w:val="716E67"/>
          <w:sz w:val="16"/>
        </w:rPr>
        <w:t>Une photo à la verticale, avec un mètre visible, vaut dix photos générales.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Repère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 extérieure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 intérieure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Photo de l’appui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Porte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Fenêtre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Après la première forte pluie</w:t>
      </w:r>
    </w:p>
    <w:p>
      <w:pPr>
        <w:spacing w:after="40"/>
      </w:pPr>
      <w:r>
        <w:rPr>
          <w:color w:val="716E67"/>
          <w:sz w:val="17"/>
        </w:rPr>
        <w:t>Date de la pluie, et intensité observée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Traces constatées, et où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Corrections apportées, et date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Ne posez pas les habillages tant que toutes les cases ne sont pas contrôlées.</w:t>
      </w:r>
    </w:p>
    <w:p>
      <w:pPr>
        <w:spacing w:after="40"/>
      </w:pPr>
      <w:r>
        <w:rPr>
          <w:color w:val="716E67"/>
          <w:sz w:val="17"/>
        </w:rPr>
        <w:t>Contrôlé par,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THS-08E · Contrôle avant habillage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THS-08E    </w:t>
    </w:r>
    <w:r>
      <w:rPr>
        <w:color w:val="716E67"/>
        <w:sz w:val="16"/>
      </w:rPr>
      <w:t>Chapitre 8 — Les menuiseries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