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Finition et entretien</w:t>
      </w:r>
    </w:p>
    <w:p>
      <w:r>
        <w:rPr>
          <w:color w:val="716E67"/>
          <w:sz w:val="20"/>
        </w:rPr>
        <w:t>Ce que vous vous engagez à refaire, et quand</w:t>
      </w:r>
    </w:p>
    <w:p>
      <w:r>
        <w:t>Une finition n’est pas un produit, c’est un engagement dans le temps. Écrivez-le avant d’ouvrir le premier bidon.</w:t>
      </w:r>
    </w:p>
    <w:p>
      <w:pPr>
        <w:spacing w:before="280" w:after="120"/>
      </w:pPr>
      <w:r>
        <w:rPr>
          <w:b/>
          <w:color w:val="1A3C2A"/>
          <w:sz w:val="23"/>
        </w:rPr>
        <w:t>La stratégie retenue</w:t>
      </w:r>
    </w:p>
    <w:p>
      <w:pPr>
        <w:spacing w:after="120"/>
      </w:pPr>
      <w:r>
        <w:rPr>
          <w:sz w:val="24"/>
        </w:rPr>
        <w:t xml:space="preserve">☐  </w:t>
      </w:r>
      <w:r>
        <w:t>Aucune finition : le bois vieillit naturellement, et je l’accepte</w:t>
      </w:r>
    </w:p>
    <w:p>
      <w:pPr>
        <w:spacing w:after="120"/>
      </w:pPr>
      <w:r>
        <w:rPr>
          <w:sz w:val="24"/>
        </w:rPr>
        <w:t xml:space="preserve">☐  </w:t>
      </w:r>
      <w:r>
        <w:t>Prégrisaillement : je réduis le contraste de la phase intermédiaire</w:t>
      </w:r>
    </w:p>
    <w:p>
      <w:pPr>
        <w:spacing w:after="120"/>
      </w:pPr>
      <w:r>
        <w:rPr>
          <w:sz w:val="24"/>
        </w:rPr>
        <w:t xml:space="preserve">☐  </w:t>
      </w:r>
      <w:r>
        <w:t>Lasure, saturateur ou peinture : je tiens une teinte et j’assume l’entretien</w:t>
      </w:r>
    </w:p>
    <w:p>
      <w:pPr>
        <w:spacing w:before="280" w:after="120"/>
      </w:pPr>
      <w:r>
        <w:rPr>
          <w:b/>
          <w:color w:val="1A3C2A"/>
          <w:sz w:val="23"/>
        </w:rPr>
        <w:t>Le produit</w:t>
      </w:r>
    </w:p>
    <w:p>
      <w:pPr>
        <w:spacing w:after="40"/>
      </w:pPr>
      <w:r>
        <w:rPr>
          <w:color w:val="716E67"/>
          <w:sz w:val="17"/>
        </w:rPr>
        <w:t>Produit, fabricant et référence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Nombre de couches et préparation du bois demandée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Traitement exigé sur les chants coupés : oui / non, lequel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Conditions d’application : température et humidité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Entretien annoncé par le fabricant, en années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Faut-il poncer ou décaper avant reprise : oui / non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Certains produits se reprennent d’une simple couche, d’autres imposent un ponçage complet. Sur une façade entière, la différence se compte en jours.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Journal de la façade</w:t>
      </w:r>
    </w:p>
    <w:p>
      <w:r>
        <w:rPr>
          <w:i/>
          <w:color w:val="716E67"/>
          <w:sz w:val="16"/>
        </w:rPr>
        <w:t>Une ligne à chaque intervention. Dans dix ans, c’est le seul document qui dira ce qui a été appliqué.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Façade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Intervention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et quantité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Par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Inspection annuelle</w:t>
      </w:r>
    </w:p>
    <w:p>
      <w:pPr>
        <w:spacing w:after="120"/>
      </w:pPr>
      <w:r>
        <w:rPr>
          <w:sz w:val="24"/>
        </w:rPr>
        <w:t xml:space="preserve">☐  </w:t>
      </w:r>
      <w:r>
        <w:t>Pieds de façade : pas de bois en contact avec une zone humide.</w:t>
      </w:r>
    </w:p>
    <w:p>
      <w:pPr>
        <w:spacing w:after="120"/>
      </w:pPr>
      <w:r>
        <w:rPr>
          <w:sz w:val="24"/>
        </w:rPr>
        <w:t xml:space="preserve">☐  </w:t>
      </w:r>
      <w:r>
        <w:t>Entrées et sorties de la lame d’air toujours libres.</w:t>
      </w:r>
    </w:p>
    <w:p>
      <w:pPr>
        <w:spacing w:after="120"/>
      </w:pPr>
      <w:r>
        <w:rPr>
          <w:sz w:val="24"/>
        </w:rPr>
        <w:t xml:space="preserve">☐  </w:t>
      </w:r>
      <w:r>
        <w:t>Aucune lame déboitée, instable ou fendue de part en part.</w:t>
      </w:r>
    </w:p>
    <w:p>
      <w:pPr>
        <w:spacing w:after="120"/>
      </w:pPr>
      <w:r>
        <w:rPr>
          <w:sz w:val="24"/>
        </w:rPr>
        <w:t xml:space="preserve">☐  </w:t>
      </w:r>
      <w:r>
        <w:t>Fixations en place, sans trace de rouille ni d’arrachement.</w:t>
      </w:r>
    </w:p>
    <w:p>
      <w:pPr>
        <w:spacing w:after="120"/>
      </w:pPr>
      <w:r>
        <w:rPr>
          <w:sz w:val="24"/>
        </w:rPr>
        <w:t xml:space="preserve">☐  </w:t>
      </w:r>
      <w:r>
        <w:t>Contours de fenêtres et bavettes intacts.</w:t>
      </w:r>
    </w:p>
    <w:p>
      <w:pPr>
        <w:spacing w:after="120"/>
      </w:pPr>
      <w:r>
        <w:rPr>
          <w:sz w:val="24"/>
        </w:rPr>
        <w:t xml:space="preserve">☐  </w:t>
      </w:r>
      <w:r>
        <w:t>Zones qui restent humides longtemps après la pluie : repérées.</w:t>
      </w:r>
    </w:p>
    <w:p>
      <w:pPr>
        <w:spacing w:after="40"/>
      </w:pPr>
      <w:r>
        <w:rPr>
          <w:color w:val="716E67"/>
          <w:sz w:val="17"/>
        </w:rPr>
        <w:t>Prochaine inspection prévue 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THS-09D · Finition et entretien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THS-09D    </w:t>
    </w:r>
    <w:r>
      <w:rPr>
        <w:color w:val="716E67"/>
        <w:sz w:val="16"/>
      </w:rPr>
      <w:t>Chapitre 9 — Le bardage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