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color w:val="161A15"/>
          <w:sz w:val="40"/>
        </w:rPr>
        <w:t>Plan des ponts thermiques</w:t>
      </w:r>
    </w:p>
    <w:p>
      <w:r>
        <w:rPr>
          <w:color w:val="716E67"/>
          <w:sz w:val="20"/>
        </w:rPr>
        <w:t>Quatre coupes à dessiner, quatre questions à trancher</w:t>
      </w:r>
    </w:p>
    <w:p>
      <w:r>
        <w:t>Sur chaque coupe, tracez en rouge le trajet de la chaleur. S’il existe un chemin continu de matériau conducteur entre l’intérieur et l’extérieur, vous avez trouvé le pont thermique. Un carreau vaut 1 cm.</w:t>
      </w:r>
    </w:p>
    <w:p>
      <w:pPr>
        <w:spacing w:before="280" w:after="120"/>
      </w:pPr>
      <w:r>
        <w:rPr>
          <w:b/>
          <w:color w:val="1A3C2A"/>
          <w:sz w:val="23"/>
        </w:rPr>
        <w:t>Liaison mur et plancher</w:t>
      </w:r>
    </w:p>
    <w:p>
      <w:r>
        <w:rPr>
          <w:i/>
          <w:color w:val="716E67"/>
          <w:sz w:val="16"/>
        </w:rPr>
        <w:t>La plus critique sur une maison sur remorque : longeron métallique, lisse basse, isolation du plancher.</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r>
        <w:br w:type="page"/>
      </w:r>
    </w:p>
    <w:p>
      <w:pPr>
        <w:spacing w:before="280" w:after="120"/>
      </w:pPr>
      <w:r>
        <w:rPr>
          <w:b/>
          <w:color w:val="1A3C2A"/>
          <w:sz w:val="23"/>
        </w:rPr>
        <w:t>Angle de deux murs</w:t>
      </w:r>
    </w:p>
    <w:p>
      <w:r>
        <w:rPr>
          <w:i/>
          <w:color w:val="716E67"/>
          <w:sz w:val="16"/>
        </w:rPr>
        <w:t>Combien de bois dans l’angle, et reste-t-il de la place pour isoler ?</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pPr>
        <w:spacing w:before="280" w:after="120"/>
      </w:pPr>
      <w:r>
        <w:rPr>
          <w:b/>
          <w:color w:val="1A3C2A"/>
          <w:sz w:val="23"/>
        </w:rPr>
        <w:t>Encadrement de fenêtre</w:t>
      </w:r>
    </w:p>
    <w:p>
      <w:r>
        <w:rPr>
          <w:i/>
          <w:color w:val="716E67"/>
          <w:sz w:val="16"/>
        </w:rPr>
        <w:t>Le retour d’isolant en tableau, et la continuité avec le cadre.</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r>
        <w:br w:type="page"/>
      </w:r>
    </w:p>
    <w:p>
      <w:pPr>
        <w:spacing w:before="280" w:after="120"/>
      </w:pPr>
      <w:r>
        <w:rPr>
          <w:b/>
          <w:color w:val="1A3C2A"/>
          <w:sz w:val="23"/>
        </w:rPr>
        <w:t>Liaison mur et toiture</w:t>
      </w:r>
    </w:p>
    <w:p>
      <w:r>
        <w:rPr>
          <w:i/>
          <w:color w:val="716E67"/>
          <w:sz w:val="16"/>
        </w:rPr>
        <w:t>Lisse haute, sablière, isolation de toiture : où la continuité se coupe-t-elle ?</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pPr>
        <w:spacing w:before="280" w:after="120"/>
      </w:pPr>
      <w:r>
        <w:rPr>
          <w:b/>
          <w:color w:val="1A3C2A"/>
          <w:sz w:val="23"/>
        </w:rPr>
        <w:t>Les points relevés</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fill="F6F3EC"/>
          </w:tcPr>
          <w:p>
            <w:r/>
            <w:r>
              <w:rPr>
                <w:b/>
                <w:color w:val="1A3C2A"/>
                <w:sz w:val="16"/>
              </w:rPr>
              <w:t>Point</w:t>
            </w:r>
          </w:p>
        </w:tc>
        <w:tc>
          <w:tcPr>
            <w:tcW w:type="dxa" w:w="2409"/>
            <w:shd w:val="clear" w:fill="F6F3EC"/>
          </w:tcPr>
          <w:p>
            <w:r/>
            <w:r>
              <w:rPr>
                <w:b/>
                <w:color w:val="1A3C2A"/>
                <w:sz w:val="16"/>
              </w:rPr>
              <w:t>Continuité d’isolant</w:t>
            </w:r>
          </w:p>
        </w:tc>
        <w:tc>
          <w:tcPr>
            <w:tcW w:type="dxa" w:w="2409"/>
            <w:shd w:val="clear" w:fill="F6F3EC"/>
          </w:tcPr>
          <w:p>
            <w:r/>
            <w:r>
              <w:rPr>
                <w:b/>
                <w:color w:val="1A3C2A"/>
                <w:sz w:val="16"/>
              </w:rPr>
              <w:t>Traitement prévu</w:t>
            </w:r>
          </w:p>
        </w:tc>
        <w:tc>
          <w:tcPr>
            <w:tcW w:type="dxa" w:w="2409"/>
            <w:shd w:val="clear" w:fill="F6F3EC"/>
          </w:tcPr>
          <w:p>
            <w:r/>
            <w:r>
              <w:rPr>
                <w:b/>
                <w:color w:val="1A3C2A"/>
                <w:sz w:val="16"/>
              </w:rPr>
              <w:t>Contrôlé</w:t>
            </w:r>
          </w:p>
        </w:tc>
      </w:tr>
      <w:tr>
        <w:tc>
          <w:tcPr>
            <w:tcW w:type="dxa" w:w="2409"/>
          </w:tcPr>
          <w:p>
            <w:r/>
            <w:r>
              <w:rPr>
                <w:sz w:val="16"/>
              </w:rPr>
              <w:t>Liaison mur et plancher</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Angles</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Lisse basse</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Lisse haute</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Liaison mur et toiture</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Encadrements de fenêtres</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Seuil de porte</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Longerons métalliques</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Fixations traversantes</w:t>
            </w:r>
          </w:p>
        </w:tc>
        <w:tc>
          <w:tcPr>
            <w:tcW w:type="dxa" w:w="2409"/>
          </w:tcPr>
          <w:p>
            <w:r/>
            <w:r>
              <w:rPr>
                <w:sz w:val="16"/>
              </w:rPr>
            </w:r>
          </w:p>
        </w:tc>
        <w:tc>
          <w:tcPr>
            <w:tcW w:type="dxa" w:w="2409"/>
          </w:tcPr>
          <w:p>
            <w:r/>
            <w:r>
              <w:rPr>
                <w:sz w:val="16"/>
              </w:rPr>
            </w:r>
          </w:p>
        </w:tc>
        <w:tc>
          <w:tcPr>
            <w:tcW w:type="dxa" w:w="2409"/>
          </w:tcPr>
          <w:p>
            <w:r/>
            <w:r>
              <w:rPr>
                <w:sz w:val="16"/>
              </w:rPr>
            </w:r>
          </w:p>
        </w:tc>
      </w:tr>
    </w:tbl>
    <w:p>
      <w:pPr>
        <w:spacing w:before="320"/>
      </w:pPr>
      <w:r>
        <w:rPr>
          <w:color w:val="716E67"/>
          <w:sz w:val="15"/>
        </w:rPr>
        <w:t>Document préparé par Tiny House Suisse — reproduction libre pour usage personnel.</w:t>
      </w: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16E67"/>
        <w:sz w:val="14"/>
      </w:rPr>
      <w:t>THS-10C · Plan des ponts thermiques · Tiny House Suisse — Guide d’autoconstruction  ·  www.tinyhousesuisse.ch</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color w:val="1A3C2A"/>
        <w:sz w:val="16"/>
      </w:rPr>
      <w:t xml:space="preserve">THS-10C    </w:t>
    </w:r>
    <w:r>
      <w:rPr>
        <w:color w:val="716E67"/>
        <w:sz w:val="16"/>
      </w:rPr>
      <w:t>Chapitre 10 — L’isolation</w:t>
    </w:r>
    <w:r>
      <w:tab/>
      <w:tab/>
    </w:r>
    <w:r>
      <w:drawing>
        <wp:inline xmlns:a="http://schemas.openxmlformats.org/drawingml/2006/main" xmlns:pic="http://schemas.openxmlformats.org/drawingml/2006/picture">
          <wp:extent cx="396000" cy="396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96000" cy="396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61A1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