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Registre des traversées</w:t>
      </w:r>
    </w:p>
    <w:p>
      <w:r>
        <w:rPr>
          <w:color w:val="716E67"/>
          <w:sz w:val="20"/>
        </w:rPr>
        <w:t>Chaque gaine, chaque tuyau, chaque câble</w:t>
      </w:r>
    </w:p>
    <w:p>
      <w:r>
        <w:t>Chaque ligne de cette fiche est une traversée traitée le jour même. Les vingt trous qu’on accumule en pensant y revenir ne se retrouvent jamais.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N°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Traversée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Emplacement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Diamètre (mm)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Méthode d’étanchéité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Fait le</w:t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Arrivée électrique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2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Gaine principale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3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Arrivée d’eau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4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Évacuation douche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5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Évacuation évier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6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Évacuation WC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7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Entrée de ventilation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8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Sortie de ventilation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9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Conduit de poêle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10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11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12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Ce qui passe devant la couche, et non à travers</w:t>
      </w:r>
    </w:p>
    <w:p>
      <w:r>
        <w:rPr>
          <w:i/>
          <w:color w:val="716E67"/>
          <w:sz w:val="16"/>
        </w:rPr>
        <w:t>Le vide technique existe pour cela. Listez ici ce que vous avez réussi à y faire passer.</w:t>
      </w:r>
    </w:p>
    <w:p>
      <w:pPr>
        <w:spacing w:after="40"/>
      </w:pPr>
      <w:r>
        <w:rPr>
          <w:color w:val="716E67"/>
          <w:sz w:val="17"/>
        </w:rPr>
        <w:t>Nombre de prises et interrupteurs placés devant la couche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Nombre de boîtiers placés dans le plan de la couche, et pourquoi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Épaisseur du vide technique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Pour chaque traversée réelle</w:t>
      </w:r>
    </w:p>
    <w:p>
      <w:pPr>
        <w:spacing w:after="120"/>
      </w:pPr>
      <w:r>
        <w:rPr>
          <w:sz w:val="24"/>
        </w:rPr>
        <w:t xml:space="preserve">☐  </w:t>
      </w:r>
      <w:r>
        <w:t>Manchette ou détail compatible avec la membrane utilisé.</w:t>
      </w:r>
    </w:p>
    <w:p>
      <w:pPr>
        <w:spacing w:after="120"/>
      </w:pPr>
      <w:r>
        <w:rPr>
          <w:sz w:val="24"/>
        </w:rPr>
        <w:t xml:space="preserve">☐  </w:t>
      </w:r>
      <w:r>
        <w:t>Support propre, sec et stable avant collage.</w:t>
      </w:r>
    </w:p>
    <w:p>
      <w:pPr>
        <w:spacing w:after="120"/>
      </w:pPr>
      <w:r>
        <w:rPr>
          <w:sz w:val="24"/>
        </w:rPr>
        <w:t xml:space="preserve">☐  </w:t>
      </w:r>
      <w:r>
        <w:t>Rouleau de pression passé si le fabricant le demande.</w:t>
      </w:r>
    </w:p>
    <w:p>
      <w:pPr>
        <w:spacing w:after="120"/>
      </w:pPr>
      <w:r>
        <w:rPr>
          <w:sz w:val="24"/>
        </w:rPr>
        <w:t xml:space="preserve">☐  </w:t>
      </w:r>
      <w:r>
        <w:t>Gaines regroupées plutôt que dispersées.</w:t>
      </w:r>
    </w:p>
    <w:p>
      <w:pPr>
        <w:spacing w:after="120"/>
      </w:pPr>
      <w:r>
        <w:rPr>
          <w:sz w:val="24"/>
        </w:rPr>
        <w:t xml:space="preserve">☐  </w:t>
      </w:r>
      <w:r>
        <w:t>Photo prise avant que le lattage ne recouvre le détail.</w:t>
      </w:r>
    </w:p>
    <w:p>
      <w:pPr>
        <w:spacing w:after="120"/>
      </w:pPr>
      <w:r>
        <w:rPr>
          <w:sz w:val="24"/>
        </w:rPr>
        <w:t xml:space="preserve">☐  </w:t>
      </w:r>
      <w:r>
        <w:t>Aucune traversée laissée ouverte en fin de journée.</w:t>
      </w:r>
    </w:p>
    <w:p>
      <w:pPr>
        <w:spacing w:before="280" w:after="120"/>
      </w:pPr>
      <w:r>
        <w:rPr>
          <w:b/>
          <w:color w:val="1A3C2A"/>
          <w:sz w:val="23"/>
        </w:rPr>
        <w:t>Traversées supprimées ou regroupées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THS-11C · Registre des traversées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THS-11C    </w:t>
    </w:r>
    <w:r>
      <w:rPr>
        <w:color w:val="716E67"/>
        <w:sz w:val="16"/>
      </w:rPr>
      <w:t>Chapitre 11 — Frein-vapeur et étanchéité à l’air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