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vor dem Schliessen</w:t>
      </w:r>
    </w:p>
    <w:p>
      <w:r>
        <w:rPr>
          <w:color w:val="716E67"/>
          <w:sz w:val="20"/>
        </w:rPr>
        <w:t>Das letzte Mal, dass Sie diese Schicht sehen</w:t>
      </w:r>
    </w:p>
    <w:p>
      <w:r>
        <w:t>Montieren Sie keine Bekleidung, solange die Anschlüsse zugänglich sind und ein bekannter Mangel besteht.</w:t>
      </w:r>
    </w:p>
    <w:p>
      <w:pPr>
        <w:spacing w:before="280" w:after="120"/>
      </w:pPr>
      <w:r>
        <w:rPr>
          <w:b/>
          <w:color w:val="1A3C2A"/>
          <w:sz w:val="23"/>
        </w:rPr>
        <w:t>Die eingebaute Schicht</w:t>
      </w:r>
    </w:p>
    <w:p>
      <w:pPr>
        <w:spacing w:after="40"/>
      </w:pPr>
      <w:r>
        <w:rPr>
          <w:color w:val="716E67"/>
          <w:sz w:val="17"/>
        </w:rPr>
        <w:t>Art: Bahn, verklebte Platte, oder gemischt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Produkt und Referenz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Sd-Wert (m), und feuchtevariabel: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Verwendete Bänder und Kleber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Die Anschlüsse, einer nach dem anderen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Anschluss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Fertig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Von Hand geprüft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Allfälliger Vorbehalt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Boden und Wände, umlaufend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Wandecken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Wände und Dach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First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Durchdringungen aus THS-11C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Eine 1-mm-Leckage auf dem unteren und oberen Umfang entspricht einem dauerhaft offenen Loch von 20 × 20 cm.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Feuchte, vor dem Einschliessen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Messstelle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(%)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Schwelle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Mittlerer Ständer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Rähm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Dämmstoff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Höchstwert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Ziel: höchstens 18 %, besser 12 bis 15 %. Gute Luftdichtheit auf feuchtem Holz wird zur Falle.</w:t>
      </w:r>
    </w:p>
    <w:p>
      <w:pPr>
        <w:spacing w:before="280" w:after="120"/>
      </w:pPr>
      <w:r>
        <w:rPr>
          <w:b/>
          <w:color w:val="1A3C2A"/>
          <w:sz w:val="23"/>
        </w:rPr>
        <w:t>Reparaturen</w:t>
      </w:r>
    </w:p>
    <w:p>
      <w:pPr>
        <w:spacing w:after="120"/>
      </w:pPr>
      <w:r>
        <w:rPr>
          <w:sz w:val="24"/>
        </w:rPr>
        <w:t xml:space="preserve">☐  </w:t>
      </w:r>
      <w:r>
        <w:t>Alle erfassten Risse wurden mit dem Systemprodukt geflickt.</w:t>
      </w:r>
    </w:p>
    <w:p>
      <w:pPr>
        <w:spacing w:after="120"/>
      </w:pPr>
      <w:r>
        <w:rPr>
          <w:sz w:val="24"/>
        </w:rPr>
        <w:t xml:space="preserve">☐  </w:t>
      </w:r>
      <w:r>
        <w:t>Keine entfernte Klammer hat ein offenes Loch hinterlassen.</w:t>
      </w:r>
    </w:p>
    <w:p>
      <w:pPr>
        <w:spacing w:after="120"/>
      </w:pPr>
      <w:r>
        <w:rPr>
          <w:sz w:val="24"/>
        </w:rPr>
        <w:t xml:space="preserve">☐  </w:t>
      </w:r>
      <w:r>
        <w:t>Kein Anschluss beruht auf Universalband.</w:t>
      </w:r>
    </w:p>
    <w:p>
      <w:pPr>
        <w:spacing w:after="120"/>
      </w:pPr>
      <w:r>
        <w:rPr>
          <w:sz w:val="24"/>
        </w:rPr>
        <w:t xml:space="preserve">☐  </w:t>
      </w:r>
      <w:r>
        <w:t>Bahn weder gespannt noch in grossen Taschen.</w:t>
      </w:r>
    </w:p>
    <w:p>
      <w:pPr>
        <w:spacing w:after="120"/>
      </w:pPr>
      <w:r>
        <w:rPr>
          <w:sz w:val="24"/>
        </w:rPr>
        <w:t xml:space="preserve">☐  </w:t>
      </w:r>
      <w:r>
        <w:t>Fotos je Fassade, mit sichtbarem Massband.</w:t>
      </w:r>
    </w:p>
    <w:p>
      <w:pPr>
        <w:spacing w:after="40"/>
      </w:pPr>
      <w:r>
        <w:rPr>
          <w:color w:val="716E67"/>
          <w:sz w:val="17"/>
        </w:rPr>
        <w:t>Vortest durchgeführt am, und Methode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Blower-Door geplant am, und durch wen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Geprüft durch,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THS-11D · Kontrolle vor dem Schliessen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THS-11D    </w:t>
    </w:r>
    <w:r>
      <w:rPr>
        <w:color w:val="716E67"/>
        <w:sz w:val="16"/>
      </w:rPr>
      <w:t>Kapitel 11 — Dampfbremse und Luftdichtheit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