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Contrôle avant fermeture</w:t>
      </w:r>
    </w:p>
    <w:p>
      <w:r>
        <w:rPr>
          <w:color w:val="716E67"/>
          <w:sz w:val="20"/>
        </w:rPr>
        <w:t>La dernière fois que vous voyez cette couche</w:t>
      </w:r>
    </w:p>
    <w:p>
      <w:r>
        <w:t>N’installez pas les parements tant que les raccords sont accessibles et qu’un défaut connu subsiste.</w:t>
      </w:r>
    </w:p>
    <w:p>
      <w:pPr>
        <w:spacing w:before="280" w:after="120"/>
      </w:pPr>
      <w:r>
        <w:rPr>
          <w:b/>
          <w:color w:val="1A3C2A"/>
          <w:sz w:val="23"/>
        </w:rPr>
        <w:t>La couche posée</w:t>
      </w:r>
    </w:p>
    <w:p>
      <w:pPr>
        <w:spacing w:after="40"/>
      </w:pPr>
      <w:r>
        <w:rPr>
          <w:color w:val="716E67"/>
          <w:sz w:val="17"/>
        </w:rPr>
        <w:t>Nature : membrane, panneau jointoyé, ou mixte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Produit et référence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Valeur Sd (m), et hygrovariable : oui / non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Rubans et colles utilisés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Les raccords, un par un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Raccord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Terminé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Contrôlé à la main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Photo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Réserve éventuelle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Plancher et murs, sur tout le périmètre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Angles de murs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Murs et toiture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Faîtage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Porte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Traversées de THS-11C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Une fuite de 1 mm sur le périmètre bas et haut équivaut à un trou de 20 × 20 cm ouvert en permanence.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Humidité, avant d’enfermer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Point de mesure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 (%)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Date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Lisse basse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Montant central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Lisse haute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Isolant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Valeur maximale relevée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Objectif : 18 % au maximum, idéalement 12 à 15 %. Une bonne étanchéité à l’air sur du bois humide devient un piège.</w:t>
      </w:r>
    </w:p>
    <w:p>
      <w:pPr>
        <w:spacing w:before="280" w:after="120"/>
      </w:pPr>
      <w:r>
        <w:rPr>
          <w:b/>
          <w:color w:val="1A3C2A"/>
          <w:sz w:val="23"/>
        </w:rPr>
        <w:t>Réparations</w:t>
      </w:r>
    </w:p>
    <w:p>
      <w:pPr>
        <w:spacing w:after="120"/>
      </w:pPr>
      <w:r>
        <w:rPr>
          <w:sz w:val="24"/>
        </w:rPr>
        <w:t xml:space="preserve">☐  </w:t>
      </w:r>
      <w:r>
        <w:t>Toutes les déchirures repérées ont été réparées avec le produit du système.</w:t>
      </w:r>
    </w:p>
    <w:p>
      <w:pPr>
        <w:spacing w:after="120"/>
      </w:pPr>
      <w:r>
        <w:rPr>
          <w:sz w:val="24"/>
        </w:rPr>
        <w:t xml:space="preserve">☐  </w:t>
      </w:r>
      <w:r>
        <w:t>Aucune agrafe retirée n’a laissé un trou ouvert.</w:t>
      </w:r>
    </w:p>
    <w:p>
      <w:pPr>
        <w:spacing w:after="120"/>
      </w:pPr>
      <w:r>
        <w:rPr>
          <w:sz w:val="24"/>
        </w:rPr>
        <w:t xml:space="preserve">☐  </w:t>
      </w:r>
      <w:r>
        <w:t>Aucun raccord ne repose sur du ruban universel.</w:t>
      </w:r>
    </w:p>
    <w:p>
      <w:pPr>
        <w:spacing w:after="120"/>
      </w:pPr>
      <w:r>
        <w:rPr>
          <w:sz w:val="24"/>
        </w:rPr>
        <w:t xml:space="preserve">☐  </w:t>
      </w:r>
      <w:r>
        <w:t>Membrane ni tendue ni en grandes poches.</w:t>
      </w:r>
    </w:p>
    <w:p>
      <w:pPr>
        <w:spacing w:after="120"/>
      </w:pPr>
      <w:r>
        <w:rPr>
          <w:sz w:val="24"/>
        </w:rPr>
        <w:t xml:space="preserve">☐  </w:t>
      </w:r>
      <w:r>
        <w:t>Photos prises façade par façade, avec un mètre visible.</w:t>
      </w:r>
    </w:p>
    <w:p>
      <w:pPr>
        <w:spacing w:after="40"/>
      </w:pPr>
      <w:r>
        <w:rPr>
          <w:color w:val="716E67"/>
          <w:sz w:val="17"/>
        </w:rPr>
        <w:t>Pré-test effectué le, et méthode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Blower door prévu le, et par qui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Contrôlé par, et 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THS-11D · Contrôle avant fermeture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THS-11D    </w:t>
    </w:r>
    <w:r>
      <w:rPr>
        <w:color w:val="716E67"/>
        <w:sz w:val="16"/>
      </w:rPr>
      <w:t>Chapitre 11 — Frein-vapeur et étanchéité à l’air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