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40"/>
      </w:pPr>
      <w:r>
        <w:rPr>
          <w:b/>
          <w:color w:val="161A15"/>
          <w:sz w:val="40"/>
        </w:rPr>
        <w:t>Vorbereitung der Blower-Door</w:t>
      </w:r>
    </w:p>
    <w:p>
      <w:r>
        <w:rPr>
          <w:color w:val="716E67"/>
          <w:sz w:val="20"/>
        </w:rPr>
        <w:t>Was vor der Messung zu schliessen, zu öffnen und zu prüfen ist</w:t>
      </w:r>
    </w:p>
    <w:p>
      <w:r>
        <w:t>Der beste Zeitpunkt für die erste Messung: Dichtheit fertig, Bekleidung noch nicht montiert. Ein jetzt gefundenes Leck ist in zehn Minuten geflickt.</w:t>
      </w:r>
    </w:p>
    <w:p>
      <w:pPr>
        <w:spacing w:before="280" w:after="120"/>
      </w:pPr>
      <w:r>
        <w:rPr>
          <w:b/>
          <w:color w:val="1A3C2A"/>
          <w:sz w:val="23"/>
        </w:rPr>
        <w:t>Vor dem Eintreffen der Messperson</w:t>
      </w:r>
    </w:p>
    <w:p>
      <w:pPr>
        <w:spacing w:after="120"/>
      </w:pPr>
      <w:r>
        <w:rPr>
          <w:sz w:val="24"/>
        </w:rPr>
        <w:t xml:space="preserve">☐  </w:t>
      </w:r>
      <w:r>
        <w:t>Alle Fenster und Aussentüren geschlossen, nicht abgeschlossen, falls nachgestellt werden muss.</w:t>
      </w:r>
    </w:p>
    <w:p>
      <w:pPr>
        <w:spacing w:after="120"/>
      </w:pPr>
      <w:r>
        <w:rPr>
          <w:sz w:val="24"/>
        </w:rPr>
        <w:t xml:space="preserve">☐  </w:t>
      </w:r>
      <w:r>
        <w:t>Revisionsöffnungen normal geschlossen.</w:t>
      </w:r>
    </w:p>
    <w:p>
      <w:pPr>
        <w:spacing w:after="120"/>
      </w:pPr>
      <w:r>
        <w:rPr>
          <w:sz w:val="24"/>
        </w:rPr>
        <w:t xml:space="preserve">☐  </w:t>
      </w:r>
      <w:r>
        <w:t>Siphons mit Wasser gefüllt oder Abläufe gemäss Methode verschlossen.</w:t>
      </w:r>
    </w:p>
    <w:p>
      <w:pPr>
        <w:spacing w:after="120"/>
      </w:pPr>
      <w:r>
        <w:rPr>
          <w:sz w:val="24"/>
        </w:rPr>
        <w:t xml:space="preserve">☐  </w:t>
      </w:r>
      <w:r>
        <w:t>Lufteintritte und -austritte gemäss Methode verschlossen.</w:t>
      </w:r>
    </w:p>
    <w:p>
      <w:pPr>
        <w:spacing w:after="120"/>
      </w:pPr>
      <w:r>
        <w:rPr>
          <w:sz w:val="24"/>
        </w:rPr>
        <w:t xml:space="preserve">☐  </w:t>
      </w:r>
      <w:r>
        <w:t>Kaminrohr gemäss Methode behandelt.</w:t>
      </w:r>
    </w:p>
    <w:p>
      <w:pPr>
        <w:spacing w:after="120"/>
      </w:pPr>
      <w:r>
        <w:rPr>
          <w:sz w:val="24"/>
        </w:rPr>
        <w:t xml:space="preserve">☐  </w:t>
      </w:r>
      <w:r>
        <w:t>Keine Innenbekleidung vor den Anschlüssen montiert.</w:t>
      </w:r>
    </w:p>
    <w:p>
      <w:pPr>
        <w:spacing w:after="120"/>
      </w:pPr>
      <w:r>
        <w:rPr>
          <w:sz w:val="24"/>
        </w:rPr>
        <w:t xml:space="preserve">☐  </w:t>
      </w:r>
      <w:r>
        <w:t>Baustelle aufgeräumt: die Bahn muss überall sichtbar sein.</w:t>
      </w:r>
    </w:p>
    <w:p>
      <w:pPr>
        <w:spacing w:after="120"/>
      </w:pPr>
      <w:r>
        <w:rPr>
          <w:sz w:val="24"/>
        </w:rPr>
        <w:t xml:space="preserve">☐  </w:t>
      </w:r>
      <w:r>
        <w:t>Leiter oder Tritt verfügbar für die hohen Anschlüsse.</w:t>
      </w:r>
    </w:p>
    <w:p>
      <w:pPr>
        <w:spacing w:before="280" w:after="120"/>
      </w:pPr>
      <w:r>
        <w:rPr>
          <w:b/>
          <w:color w:val="1A3C2A"/>
          <w:sz w:val="23"/>
        </w:rPr>
        <w:t>Die Messung</w:t>
      </w:r>
    </w:p>
    <w:p>
      <w:pPr>
        <w:spacing w:after="40"/>
      </w:pPr>
      <w:r>
        <w:rPr>
          <w:color w:val="716E67"/>
          <w:sz w:val="17"/>
        </w:rPr>
        <w:t>Messperson und Datum</w:t>
      </w:r>
    </w:p>
    <w:p>
      <w:pPr>
        <w:spacing w:after="200" w:before="160"/>
        <w:pBdr>
          <w:bottom w:val="single" w:sz="4" w:space="1" w:color="D5D2CA"/>
        </w:pBdr>
      </w:pPr>
    </w:p>
    <w:p>
      <w:pPr>
        <w:spacing w:after="40"/>
      </w:pPr>
      <w:r>
        <w:rPr>
          <w:color w:val="716E67"/>
          <w:sz w:val="17"/>
        </w:rPr>
        <w:t>Angenommenes Innenvolumen (m³)</w:t>
      </w:r>
    </w:p>
    <w:p>
      <w:pPr>
        <w:spacing w:after="200" w:before="160"/>
        <w:pBdr>
          <w:bottom w:val="single" w:sz="4" w:space="1" w:color="D5D2CA"/>
        </w:pBdr>
      </w:pPr>
    </w:p>
    <w:p>
      <w:pPr>
        <w:spacing w:after="40"/>
      </w:pPr>
      <w:r>
        <w:rPr>
          <w:color w:val="716E67"/>
          <w:sz w:val="17"/>
        </w:rPr>
        <w:t>Erzieltes Resultat und Einheit</w:t>
      </w:r>
    </w:p>
    <w:p>
      <w:pPr>
        <w:spacing w:after="200" w:before="160"/>
        <w:pBdr>
          <w:bottom w:val="single" w:sz="4" w:space="1" w:color="D5D2CA"/>
        </w:pBdr>
      </w:pPr>
    </w:p>
    <w:p>
      <w:pPr>
        <w:spacing w:after="40"/>
      </w:pPr>
      <w:r>
        <w:rPr>
          <w:color w:val="716E67"/>
          <w:sz w:val="17"/>
        </w:rPr>
        <w:t>Angestrebtes Ziel, und woher es kommt</w:t>
      </w:r>
    </w:p>
    <w:p>
      <w:pPr>
        <w:spacing w:after="200" w:before="160"/>
        <w:pBdr>
          <w:bottom w:val="single" w:sz="4" w:space="1" w:color="D5D2CA"/>
        </w:pBdr>
      </w:pPr>
    </w:p>
    <w:p>
      <w:r>
        <w:br w:type="page"/>
      </w:r>
    </w:p>
    <w:p>
      <w:pPr>
        <w:spacing w:before="280" w:after="120"/>
      </w:pPr>
      <w:r>
        <w:rPr>
          <w:b/>
          <w:color w:val="1A3C2A"/>
          <w:sz w:val="23"/>
        </w:rPr>
        <w:t>Die gefundenen Leckagen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1928"/>
        <w:gridCol w:w="1928"/>
        <w:gridCol w:w="1928"/>
        <w:gridCol w:w="1928"/>
        <w:gridCol w:w="1928"/>
      </w:tblGrid>
      <w:tr>
        <w:tc>
          <w:tcPr>
            <w:tcW w:type="dxa" w:w="1928"/>
            <w:shd w:val="clear" w:fill="F6F3EC"/>
          </w:tcPr>
          <w:p>
            <w:r/>
            <w:r>
              <w:rPr>
                <w:b/>
                <w:color w:val="1A3C2A"/>
                <w:sz w:val="16"/>
              </w:rPr>
              <w:t>Nr.</w:t>
            </w:r>
          </w:p>
        </w:tc>
        <w:tc>
          <w:tcPr>
            <w:tcW w:type="dxa" w:w="1928"/>
            <w:shd w:val="clear" w:fill="F6F3EC"/>
          </w:tcPr>
          <w:p>
            <w:r/>
            <w:r>
              <w:rPr>
                <w:b/>
                <w:color w:val="1A3C2A"/>
                <w:sz w:val="16"/>
              </w:rPr>
              <w:t>Lage</w:t>
            </w:r>
          </w:p>
        </w:tc>
        <w:tc>
          <w:tcPr>
            <w:tcW w:type="dxa" w:w="1928"/>
            <w:shd w:val="clear" w:fill="F6F3EC"/>
          </w:tcPr>
          <w:p>
            <w:r/>
            <w:r>
              <w:rPr>
                <w:b/>
                <w:color w:val="1A3C2A"/>
                <w:sz w:val="16"/>
              </w:rPr>
              <w:t>Wahrscheinliche Ursache</w:t>
            </w:r>
          </w:p>
        </w:tc>
        <w:tc>
          <w:tcPr>
            <w:tcW w:type="dxa" w:w="1928"/>
            <w:shd w:val="clear" w:fill="F6F3EC"/>
          </w:tcPr>
          <w:p>
            <w:r/>
            <w:r>
              <w:rPr>
                <w:b/>
                <w:color w:val="1A3C2A"/>
                <w:sz w:val="16"/>
              </w:rPr>
              <w:t>Reparatur</w:t>
            </w:r>
          </w:p>
        </w:tc>
        <w:tc>
          <w:tcPr>
            <w:tcW w:type="dxa" w:w="1928"/>
            <w:shd w:val="clear" w:fill="F6F3EC"/>
          </w:tcPr>
          <w:p>
            <w:r/>
            <w:r>
              <w:rPr>
                <w:b/>
                <w:color w:val="1A3C2A"/>
                <w:sz w:val="16"/>
              </w:rPr>
              <w:t>Erledigt am</w:t>
            </w:r>
          </w:p>
        </w:tc>
      </w:tr>
      <w:tr>
        <w:tc>
          <w:tcPr>
            <w:tcW w:type="dxa" w:w="1928"/>
          </w:tcPr>
          <w:p>
            <w:r/>
            <w:r>
              <w:rPr>
                <w:sz w:val="16"/>
              </w:rPr>
              <w:t>1</w:t>
            </w:r>
          </w:p>
        </w:tc>
        <w:tc>
          <w:tcPr>
            <w:tcW w:type="dxa" w:w="1928"/>
          </w:tcPr>
          <w:p>
            <w:r/>
            <w:r>
              <w:rPr>
                <w:sz w:val="16"/>
              </w:rPr>
            </w:r>
          </w:p>
        </w:tc>
        <w:tc>
          <w:tcPr>
            <w:tcW w:type="dxa" w:w="1928"/>
          </w:tcPr>
          <w:p>
            <w:r/>
            <w:r>
              <w:rPr>
                <w:sz w:val="16"/>
              </w:rPr>
            </w:r>
          </w:p>
        </w:tc>
        <w:tc>
          <w:tcPr>
            <w:tcW w:type="dxa" w:w="1928"/>
          </w:tcPr>
          <w:p>
            <w:r/>
            <w:r>
              <w:rPr>
                <w:sz w:val="16"/>
              </w:rPr>
            </w:r>
          </w:p>
        </w:tc>
        <w:tc>
          <w:tcPr>
            <w:tcW w:type="dxa" w:w="1928"/>
          </w:tcPr>
          <w:p>
            <w:r/>
            <w:r>
              <w:rPr>
                <w:sz w:val="16"/>
              </w:rPr>
            </w:r>
          </w:p>
        </w:tc>
      </w:tr>
      <w:tr>
        <w:tc>
          <w:tcPr>
            <w:tcW w:type="dxa" w:w="1928"/>
          </w:tcPr>
          <w:p>
            <w:r/>
            <w:r>
              <w:rPr>
                <w:sz w:val="16"/>
              </w:rPr>
              <w:t>2</w:t>
            </w:r>
          </w:p>
        </w:tc>
        <w:tc>
          <w:tcPr>
            <w:tcW w:type="dxa" w:w="1928"/>
          </w:tcPr>
          <w:p>
            <w:r/>
            <w:r>
              <w:rPr>
                <w:sz w:val="16"/>
              </w:rPr>
            </w:r>
          </w:p>
        </w:tc>
        <w:tc>
          <w:tcPr>
            <w:tcW w:type="dxa" w:w="1928"/>
          </w:tcPr>
          <w:p>
            <w:r/>
            <w:r>
              <w:rPr>
                <w:sz w:val="16"/>
              </w:rPr>
            </w:r>
          </w:p>
        </w:tc>
        <w:tc>
          <w:tcPr>
            <w:tcW w:type="dxa" w:w="1928"/>
          </w:tcPr>
          <w:p>
            <w:r/>
            <w:r>
              <w:rPr>
                <w:sz w:val="16"/>
              </w:rPr>
            </w:r>
          </w:p>
        </w:tc>
        <w:tc>
          <w:tcPr>
            <w:tcW w:type="dxa" w:w="1928"/>
          </w:tcPr>
          <w:p>
            <w:r/>
            <w:r>
              <w:rPr>
                <w:sz w:val="16"/>
              </w:rPr>
            </w:r>
          </w:p>
        </w:tc>
      </w:tr>
      <w:tr>
        <w:tc>
          <w:tcPr>
            <w:tcW w:type="dxa" w:w="1928"/>
          </w:tcPr>
          <w:p>
            <w:r/>
            <w:r>
              <w:rPr>
                <w:sz w:val="16"/>
              </w:rPr>
              <w:t>3</w:t>
            </w:r>
          </w:p>
        </w:tc>
        <w:tc>
          <w:tcPr>
            <w:tcW w:type="dxa" w:w="1928"/>
          </w:tcPr>
          <w:p>
            <w:r/>
            <w:r>
              <w:rPr>
                <w:sz w:val="16"/>
              </w:rPr>
            </w:r>
          </w:p>
        </w:tc>
        <w:tc>
          <w:tcPr>
            <w:tcW w:type="dxa" w:w="1928"/>
          </w:tcPr>
          <w:p>
            <w:r/>
            <w:r>
              <w:rPr>
                <w:sz w:val="16"/>
              </w:rPr>
            </w:r>
          </w:p>
        </w:tc>
        <w:tc>
          <w:tcPr>
            <w:tcW w:type="dxa" w:w="1928"/>
          </w:tcPr>
          <w:p>
            <w:r/>
            <w:r>
              <w:rPr>
                <w:sz w:val="16"/>
              </w:rPr>
            </w:r>
          </w:p>
        </w:tc>
        <w:tc>
          <w:tcPr>
            <w:tcW w:type="dxa" w:w="1928"/>
          </w:tcPr>
          <w:p>
            <w:r/>
            <w:r>
              <w:rPr>
                <w:sz w:val="16"/>
              </w:rPr>
            </w:r>
          </w:p>
        </w:tc>
      </w:tr>
      <w:tr>
        <w:tc>
          <w:tcPr>
            <w:tcW w:type="dxa" w:w="1928"/>
          </w:tcPr>
          <w:p>
            <w:r/>
            <w:r>
              <w:rPr>
                <w:sz w:val="16"/>
              </w:rPr>
              <w:t>4</w:t>
            </w:r>
          </w:p>
        </w:tc>
        <w:tc>
          <w:tcPr>
            <w:tcW w:type="dxa" w:w="1928"/>
          </w:tcPr>
          <w:p>
            <w:r/>
            <w:r>
              <w:rPr>
                <w:sz w:val="16"/>
              </w:rPr>
            </w:r>
          </w:p>
        </w:tc>
        <w:tc>
          <w:tcPr>
            <w:tcW w:type="dxa" w:w="1928"/>
          </w:tcPr>
          <w:p>
            <w:r/>
            <w:r>
              <w:rPr>
                <w:sz w:val="16"/>
              </w:rPr>
            </w:r>
          </w:p>
        </w:tc>
        <w:tc>
          <w:tcPr>
            <w:tcW w:type="dxa" w:w="1928"/>
          </w:tcPr>
          <w:p>
            <w:r/>
            <w:r>
              <w:rPr>
                <w:sz w:val="16"/>
              </w:rPr>
            </w:r>
          </w:p>
        </w:tc>
        <w:tc>
          <w:tcPr>
            <w:tcW w:type="dxa" w:w="1928"/>
          </w:tcPr>
          <w:p>
            <w:r/>
            <w:r>
              <w:rPr>
                <w:sz w:val="16"/>
              </w:rPr>
            </w:r>
          </w:p>
        </w:tc>
      </w:tr>
      <w:tr>
        <w:tc>
          <w:tcPr>
            <w:tcW w:type="dxa" w:w="1928"/>
          </w:tcPr>
          <w:p>
            <w:r/>
            <w:r>
              <w:rPr>
                <w:sz w:val="16"/>
              </w:rPr>
              <w:t>5</w:t>
            </w:r>
          </w:p>
        </w:tc>
        <w:tc>
          <w:tcPr>
            <w:tcW w:type="dxa" w:w="1928"/>
          </w:tcPr>
          <w:p>
            <w:r/>
            <w:r>
              <w:rPr>
                <w:sz w:val="16"/>
              </w:rPr>
            </w:r>
          </w:p>
        </w:tc>
        <w:tc>
          <w:tcPr>
            <w:tcW w:type="dxa" w:w="1928"/>
          </w:tcPr>
          <w:p>
            <w:r/>
            <w:r>
              <w:rPr>
                <w:sz w:val="16"/>
              </w:rPr>
            </w:r>
          </w:p>
        </w:tc>
        <w:tc>
          <w:tcPr>
            <w:tcW w:type="dxa" w:w="1928"/>
          </w:tcPr>
          <w:p>
            <w:r/>
            <w:r>
              <w:rPr>
                <w:sz w:val="16"/>
              </w:rPr>
            </w:r>
          </w:p>
        </w:tc>
        <w:tc>
          <w:tcPr>
            <w:tcW w:type="dxa" w:w="1928"/>
          </w:tcPr>
          <w:p>
            <w:r/>
            <w:r>
              <w:rPr>
                <w:sz w:val="16"/>
              </w:rPr>
            </w:r>
          </w:p>
        </w:tc>
      </w:tr>
      <w:tr>
        <w:tc>
          <w:tcPr>
            <w:tcW w:type="dxa" w:w="1928"/>
          </w:tcPr>
          <w:p>
            <w:r/>
            <w:r>
              <w:rPr>
                <w:sz w:val="16"/>
              </w:rPr>
              <w:t>6</w:t>
            </w:r>
          </w:p>
        </w:tc>
        <w:tc>
          <w:tcPr>
            <w:tcW w:type="dxa" w:w="1928"/>
          </w:tcPr>
          <w:p>
            <w:r/>
            <w:r>
              <w:rPr>
                <w:sz w:val="16"/>
              </w:rPr>
            </w:r>
          </w:p>
        </w:tc>
        <w:tc>
          <w:tcPr>
            <w:tcW w:type="dxa" w:w="1928"/>
          </w:tcPr>
          <w:p>
            <w:r/>
            <w:r>
              <w:rPr>
                <w:sz w:val="16"/>
              </w:rPr>
            </w:r>
          </w:p>
        </w:tc>
        <w:tc>
          <w:tcPr>
            <w:tcW w:type="dxa" w:w="1928"/>
          </w:tcPr>
          <w:p>
            <w:r/>
            <w:r>
              <w:rPr>
                <w:sz w:val="16"/>
              </w:rPr>
            </w:r>
          </w:p>
        </w:tc>
        <w:tc>
          <w:tcPr>
            <w:tcW w:type="dxa" w:w="1928"/>
          </w:tcPr>
          <w:p>
            <w:r/>
            <w:r>
              <w:rPr>
                <w:sz w:val="16"/>
              </w:rPr>
            </w:r>
          </w:p>
        </w:tc>
      </w:tr>
      <w:tr>
        <w:tc>
          <w:tcPr>
            <w:tcW w:type="dxa" w:w="1928"/>
          </w:tcPr>
          <w:p>
            <w:r/>
            <w:r>
              <w:rPr>
                <w:sz w:val="16"/>
              </w:rPr>
              <w:t>7</w:t>
            </w:r>
          </w:p>
        </w:tc>
        <w:tc>
          <w:tcPr>
            <w:tcW w:type="dxa" w:w="1928"/>
          </w:tcPr>
          <w:p>
            <w:r/>
            <w:r>
              <w:rPr>
                <w:sz w:val="16"/>
              </w:rPr>
            </w:r>
          </w:p>
        </w:tc>
        <w:tc>
          <w:tcPr>
            <w:tcW w:type="dxa" w:w="1928"/>
          </w:tcPr>
          <w:p>
            <w:r/>
            <w:r>
              <w:rPr>
                <w:sz w:val="16"/>
              </w:rPr>
            </w:r>
          </w:p>
        </w:tc>
        <w:tc>
          <w:tcPr>
            <w:tcW w:type="dxa" w:w="1928"/>
          </w:tcPr>
          <w:p>
            <w:r/>
            <w:r>
              <w:rPr>
                <w:sz w:val="16"/>
              </w:rPr>
            </w:r>
          </w:p>
        </w:tc>
        <w:tc>
          <w:tcPr>
            <w:tcW w:type="dxa" w:w="1928"/>
          </w:tcPr>
          <w:p>
            <w:r/>
            <w:r>
              <w:rPr>
                <w:sz w:val="16"/>
              </w:rPr>
            </w:r>
          </w:p>
        </w:tc>
      </w:tr>
      <w:tr>
        <w:tc>
          <w:tcPr>
            <w:tcW w:type="dxa" w:w="1928"/>
          </w:tcPr>
          <w:p>
            <w:r/>
            <w:r>
              <w:rPr>
                <w:sz w:val="16"/>
              </w:rPr>
              <w:t>8</w:t>
            </w:r>
          </w:p>
        </w:tc>
        <w:tc>
          <w:tcPr>
            <w:tcW w:type="dxa" w:w="1928"/>
          </w:tcPr>
          <w:p>
            <w:r/>
            <w:r>
              <w:rPr>
                <w:sz w:val="16"/>
              </w:rPr>
            </w:r>
          </w:p>
        </w:tc>
        <w:tc>
          <w:tcPr>
            <w:tcW w:type="dxa" w:w="1928"/>
          </w:tcPr>
          <w:p>
            <w:r/>
            <w:r>
              <w:rPr>
                <w:sz w:val="16"/>
              </w:rPr>
            </w:r>
          </w:p>
        </w:tc>
        <w:tc>
          <w:tcPr>
            <w:tcW w:type="dxa" w:w="1928"/>
          </w:tcPr>
          <w:p>
            <w:r/>
            <w:r>
              <w:rPr>
                <w:sz w:val="16"/>
              </w:rPr>
            </w:r>
          </w:p>
        </w:tc>
        <w:tc>
          <w:tcPr>
            <w:tcW w:type="dxa" w:w="1928"/>
          </w:tcPr>
          <w:p>
            <w:r/>
            <w:r>
              <w:rPr>
                <w:sz w:val="16"/>
              </w:rPr>
            </w:r>
          </w:p>
        </w:tc>
      </w:tr>
    </w:tbl>
    <w:p>
      <w:pPr>
        <w:spacing w:before="280" w:after="120"/>
      </w:pPr>
      <w:r>
        <w:rPr>
          <w:b/>
          <w:color w:val="1A3C2A"/>
          <w:sz w:val="23"/>
        </w:rPr>
        <w:t>Die vorrangig zu prüfenden Stellen</w:t>
      </w:r>
    </w:p>
    <w:p>
      <w:r>
        <w:rPr>
          <w:i/>
          <w:color w:val="716E67"/>
          <w:sz w:val="16"/>
        </w:rPr>
        <w:t>Während des Unterdrucks Hand und Nebel in dieser Reihenfolge einsetzen.</w:t>
      </w:r>
    </w:p>
    <w:p>
      <w:pPr>
        <w:spacing w:after="120"/>
      </w:pPr>
      <w:r>
        <w:rPr>
          <w:sz w:val="24"/>
        </w:rPr>
        <w:t xml:space="preserve">☐  </w:t>
      </w:r>
      <w:r>
        <w:t>Anschluss Boden und Wände, umlaufend.</w:t>
      </w:r>
    </w:p>
    <w:p>
      <w:pPr>
        <w:spacing w:after="120"/>
      </w:pPr>
      <w:r>
        <w:rPr>
          <w:sz w:val="24"/>
        </w:rPr>
        <w:t xml:space="preserve">☐  </w:t>
      </w:r>
      <w:r>
        <w:t>Wandecken, von unten nach oben.</w:t>
      </w:r>
    </w:p>
    <w:p>
      <w:pPr>
        <w:spacing w:after="120"/>
      </w:pPr>
      <w:r>
        <w:rPr>
          <w:sz w:val="24"/>
        </w:rPr>
        <w:t xml:space="preserve">☐  </w:t>
      </w:r>
      <w:r>
        <w:t>Anschluss Wände und Dach.</w:t>
      </w:r>
    </w:p>
    <w:p>
      <w:pPr>
        <w:spacing w:after="120"/>
      </w:pPr>
      <w:r>
        <w:rPr>
          <w:sz w:val="24"/>
        </w:rPr>
        <w:t xml:space="preserve">☐  </w:t>
      </w:r>
      <w:r>
        <w:t>Umlauf jedes Fensters und der Tür.</w:t>
      </w:r>
    </w:p>
    <w:p>
      <w:pPr>
        <w:spacing w:after="120"/>
      </w:pPr>
      <w:r>
        <w:rPr>
          <w:sz w:val="24"/>
        </w:rPr>
        <w:t xml:space="preserve">☐  </w:t>
      </w:r>
      <w:r>
        <w:t>Jede in THS-11C gelistete Durchdringung.</w:t>
      </w:r>
    </w:p>
    <w:p>
      <w:pPr>
        <w:spacing w:after="120"/>
      </w:pPr>
      <w:r>
        <w:rPr>
          <w:sz w:val="24"/>
        </w:rPr>
        <w:t xml:space="preserve">☐  </w:t>
      </w:r>
      <w:r>
        <w:t>Dosen, die in der Ebene der Schicht sitzen.</w:t>
      </w:r>
    </w:p>
    <w:p>
      <w:pPr>
        <w:spacing w:after="120"/>
      </w:pPr>
      <w:r>
        <w:rPr>
          <w:sz w:val="24"/>
        </w:rPr>
        <w:t xml:space="preserve">☐  </w:t>
      </w:r>
      <w:r>
        <w:t>Revisionsöffnungen.</w:t>
      </w:r>
    </w:p>
    <w:p>
      <w:r>
        <w:rPr>
          <w:b/>
          <w:color w:val="1A3C2A"/>
        </w:rPr>
        <w:t>Keine Kerze und keine offene Flamme in der Nähe von Bahnen und Baumaterialien.</w:t>
      </w:r>
    </w:p>
    <w:p>
      <w:pPr>
        <w:spacing w:after="40"/>
      </w:pPr>
      <w:r>
        <w:rPr>
          <w:color w:val="716E67"/>
          <w:sz w:val="17"/>
        </w:rPr>
        <w:t>Zweite Messung geplant am, nach den Reparaturen</w:t>
      </w:r>
    </w:p>
    <w:p>
      <w:pPr>
        <w:spacing w:after="200" w:before="160"/>
        <w:pBdr>
          <w:bottom w:val="single" w:sz="4" w:space="1" w:color="D5D2CA"/>
        </w:pBdr>
      </w:pPr>
    </w:p>
    <w:p>
      <w:pPr>
        <w:spacing w:before="320"/>
      </w:pPr>
      <w:r>
        <w:rPr>
          <w:color w:val="716E67"/>
          <w:sz w:val="15"/>
        </w:rPr>
        <w:t>Dokument von Tiny House Schweiz — freie Vervielfältigung für den privaten Gebrauch.</w:t>
      </w:r>
    </w:p>
    <w:sectPr w:rsidR="00FC693F" w:rsidRPr="0006063C" w:rsidSect="00034616">
      <w:headerReference w:type="default" r:id="rId9"/>
      <w:footerReference w:type="default" r:id="rId10"/>
      <w:pgSz w:w="11906" w:h="16838"/>
      <w:pgMar w:top="1134" w:right="1134" w:bottom="1020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color w:val="716E67"/>
        <w:sz w:val="14"/>
      </w:rPr>
      <w:t>THS-11E · Vorbereitung der Blower-Door · Tiny House Schweiz — Selbstbau-Leitfaden  ·  www.tinyhousesuisse.ch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left"/>
    </w:pPr>
    <w:r>
      <w:rPr>
        <w:b/>
        <w:color w:val="1A3C2A"/>
        <w:sz w:val="16"/>
      </w:rPr>
      <w:t xml:space="preserve">THS-11E    </w:t>
    </w:r>
    <w:r>
      <w:rPr>
        <w:color w:val="716E67"/>
        <w:sz w:val="16"/>
      </w:rPr>
      <w:t>Kapitel 11 — Dampfbremse und Luftdichtheit</w:t>
    </w:r>
    <w:r>
      <w:tab/>
      <w:tab/>
    </w:r>
    <w:r>
      <w:drawing>
        <wp:inline xmlns:a="http://schemas.openxmlformats.org/drawingml/2006/main" xmlns:pic="http://schemas.openxmlformats.org/drawingml/2006/picture">
          <wp:extent cx="396000" cy="396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396000" cy="396000"/>
                  </a:xfrm>
                  <a:prstGeom prst="rect"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color w:val="161A15"/>
      <w:sz w:val="19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