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Préparation au blower door</w:t>
      </w:r>
    </w:p>
    <w:p>
      <w:r>
        <w:rPr>
          <w:color w:val="716E67"/>
          <w:sz w:val="20"/>
        </w:rPr>
        <w:t>Ce qu’il faut fermer, ouvrir et inspecter avant le test</w:t>
      </w:r>
    </w:p>
    <w:p>
      <w:r>
        <w:t>Le meilleur moment pour le premier test : étanchéité terminée, parements pas encore posés. Une fuite trouvée maintenant se répare en dix minutes.</w:t>
      </w:r>
    </w:p>
    <w:p>
      <w:pPr>
        <w:spacing w:before="280" w:after="120"/>
      </w:pPr>
      <w:r>
        <w:rPr>
          <w:b/>
          <w:color w:val="1A3C2A"/>
          <w:sz w:val="23"/>
        </w:rPr>
        <w:t>Avant l’arrivée de l’opérateur</w:t>
      </w:r>
    </w:p>
    <w:p>
      <w:pPr>
        <w:spacing w:after="120"/>
      </w:pPr>
      <w:r>
        <w:rPr>
          <w:sz w:val="24"/>
        </w:rPr>
        <w:t xml:space="preserve">☐  </w:t>
      </w:r>
      <w:r>
        <w:t>Toutes les fenêtres et portes extérieures fermées, non verrouillées à clef si un réglage est nécessaire.</w:t>
      </w:r>
    </w:p>
    <w:p>
      <w:pPr>
        <w:spacing w:after="120"/>
      </w:pPr>
      <w:r>
        <w:rPr>
          <w:sz w:val="24"/>
        </w:rPr>
        <w:t xml:space="preserve">☐  </w:t>
      </w:r>
      <w:r>
        <w:t>Trappes et accès techniques fermés normalement.</w:t>
      </w:r>
    </w:p>
    <w:p>
      <w:pPr>
        <w:spacing w:after="120"/>
      </w:pPr>
      <w:r>
        <w:rPr>
          <w:sz w:val="24"/>
        </w:rPr>
        <w:t xml:space="preserve">☐  </w:t>
      </w:r>
      <w:r>
        <w:t>Siphons remplis d’eau, ou évacuations obturées selon la méthode retenue.</w:t>
      </w:r>
    </w:p>
    <w:p>
      <w:pPr>
        <w:spacing w:after="120"/>
      </w:pPr>
      <w:r>
        <w:rPr>
          <w:sz w:val="24"/>
        </w:rPr>
        <w:t xml:space="preserve">☐  </w:t>
      </w:r>
      <w:r>
        <w:t>Entrées et sorties de ventilation obturées selon la méthode retenue.</w:t>
      </w:r>
    </w:p>
    <w:p>
      <w:pPr>
        <w:spacing w:after="120"/>
      </w:pPr>
      <w:r>
        <w:rPr>
          <w:sz w:val="24"/>
        </w:rPr>
        <w:t xml:space="preserve">☐  </w:t>
      </w:r>
      <w:r>
        <w:t>Conduit de poêle traité selon la méthode retenue.</w:t>
      </w:r>
    </w:p>
    <w:p>
      <w:pPr>
        <w:spacing w:after="120"/>
      </w:pPr>
      <w:r>
        <w:rPr>
          <w:sz w:val="24"/>
        </w:rPr>
        <w:t xml:space="preserve">☐  </w:t>
      </w:r>
      <w:r>
        <w:t>Aucune finition intérieure posée devant les raccords.</w:t>
      </w:r>
    </w:p>
    <w:p>
      <w:pPr>
        <w:spacing w:after="120"/>
      </w:pPr>
      <w:r>
        <w:rPr>
          <w:sz w:val="24"/>
        </w:rPr>
        <w:t xml:space="preserve">☐  </w:t>
      </w:r>
      <w:r>
        <w:t>Chantier rangé : la membrane doit être visible partout.</w:t>
      </w:r>
    </w:p>
    <w:p>
      <w:pPr>
        <w:spacing w:after="120"/>
      </w:pPr>
      <w:r>
        <w:rPr>
          <w:sz w:val="24"/>
        </w:rPr>
        <w:t xml:space="preserve">☐  </w:t>
      </w:r>
      <w:r>
        <w:t>Échelle ou marchepied disponible pour atteindre les raccords hauts.</w:t>
      </w:r>
    </w:p>
    <w:p>
      <w:pPr>
        <w:spacing w:before="280" w:after="120"/>
      </w:pPr>
      <w:r>
        <w:rPr>
          <w:b/>
          <w:color w:val="1A3C2A"/>
          <w:sz w:val="23"/>
        </w:rPr>
        <w:t>Le test</w:t>
      </w:r>
    </w:p>
    <w:p>
      <w:pPr>
        <w:spacing w:after="40"/>
      </w:pPr>
      <w:r>
        <w:rPr>
          <w:color w:val="716E67"/>
          <w:sz w:val="17"/>
        </w:rPr>
        <w:t>Opérateur, et date du test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Volume intérieur retenu (m³)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Résultat obtenu, et unité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Objectif visé, et d’où il vient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Les fuites trouvées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N°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Emplacement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Cause probable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Réparation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Refaite le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Les endroits à inspecter en priorité</w:t>
      </w:r>
    </w:p>
    <w:p>
      <w:r>
        <w:rPr>
          <w:i/>
          <w:color w:val="716E67"/>
          <w:sz w:val="16"/>
        </w:rPr>
        <w:t>Pendant la mise en dépression, passez la main et le fumigène dans cet ordre.</w:t>
      </w:r>
    </w:p>
    <w:p>
      <w:pPr>
        <w:spacing w:after="120"/>
      </w:pPr>
      <w:r>
        <w:rPr>
          <w:sz w:val="24"/>
        </w:rPr>
        <w:t xml:space="preserve">☐  </w:t>
      </w:r>
      <w:r>
        <w:t>Jonction plancher et murs, sur tout le périmètre.</w:t>
      </w:r>
    </w:p>
    <w:p>
      <w:pPr>
        <w:spacing w:after="120"/>
      </w:pPr>
      <w:r>
        <w:rPr>
          <w:sz w:val="24"/>
        </w:rPr>
        <w:t xml:space="preserve">☐  </w:t>
      </w:r>
      <w:r>
        <w:t>Angles de murs, du bas vers le haut.</w:t>
      </w:r>
    </w:p>
    <w:p>
      <w:pPr>
        <w:spacing w:after="120"/>
      </w:pPr>
      <w:r>
        <w:rPr>
          <w:sz w:val="24"/>
        </w:rPr>
        <w:t xml:space="preserve">☐  </w:t>
      </w:r>
      <w:r>
        <w:t>Jonction murs et toiture.</w:t>
      </w:r>
    </w:p>
    <w:p>
      <w:pPr>
        <w:spacing w:after="120"/>
      </w:pPr>
      <w:r>
        <w:rPr>
          <w:sz w:val="24"/>
        </w:rPr>
        <w:t xml:space="preserve">☐  </w:t>
      </w:r>
      <w:r>
        <w:t>Pourtour de chaque fenêtre, et de la porte.</w:t>
      </w:r>
    </w:p>
    <w:p>
      <w:pPr>
        <w:spacing w:after="120"/>
      </w:pPr>
      <w:r>
        <w:rPr>
          <w:sz w:val="24"/>
        </w:rPr>
        <w:t xml:space="preserve">☐  </w:t>
      </w:r>
      <w:r>
        <w:t>Chaque traversée listée dans THS-11C.</w:t>
      </w:r>
    </w:p>
    <w:p>
      <w:pPr>
        <w:spacing w:after="120"/>
      </w:pPr>
      <w:r>
        <w:rPr>
          <w:sz w:val="24"/>
        </w:rPr>
        <w:t xml:space="preserve">☐  </w:t>
      </w:r>
      <w:r>
        <w:t>Boîtiers électriques placés dans le plan de la couche.</w:t>
      </w:r>
    </w:p>
    <w:p>
      <w:pPr>
        <w:spacing w:after="120"/>
      </w:pPr>
      <w:r>
        <w:rPr>
          <w:sz w:val="24"/>
        </w:rPr>
        <w:t xml:space="preserve">☐  </w:t>
      </w:r>
      <w:r>
        <w:t>Trappes et accès techniques.</w:t>
      </w:r>
    </w:p>
    <w:p>
      <w:r>
        <w:rPr>
          <w:b/>
          <w:color w:val="1A3C2A"/>
        </w:rPr>
        <w:t>Pas de bougie ni de flamme nue autour des membranes et des matériaux de chantier.</w:t>
      </w:r>
    </w:p>
    <w:p>
      <w:pPr>
        <w:spacing w:after="40"/>
      </w:pPr>
      <w:r>
        <w:rPr>
          <w:color w:val="716E67"/>
          <w:sz w:val="17"/>
        </w:rPr>
        <w:t>Second test prévu le, après réparations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THS-11E · Préparation au blower door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THS-11E    </w:t>
    </w:r>
    <w:r>
      <w:rPr>
        <w:color w:val="716E67"/>
        <w:sz w:val="16"/>
      </w:rPr>
      <w:t>Chapitre 11 — Frein-vapeur et étanchéité à l’air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