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Validation avant fermeture</w:t>
      </w:r>
    </w:p>
    <w:p>
      <w:r>
        <w:rPr>
          <w:color w:val="716E67"/>
          <w:sz w:val="20"/>
        </w:rPr>
        <w:t>À parcourir avec l’entreprise électrique</w:t>
      </w:r>
    </w:p>
    <w:p>
      <w:r>
        <w:t>Ne fermez pas les murs tant que l’entreprise qui réalisera l’installation n’a pas accepté votre préparation. Cette fiche se remplit avec elle, sur place.</w:t>
      </w:r>
    </w:p>
    <w:p>
      <w:pPr>
        <w:spacing w:before="280" w:after="120"/>
      </w:pPr>
      <w:r>
        <w:rPr>
          <w:b/>
          <w:color w:val="1A3C2A"/>
          <w:sz w:val="23"/>
        </w:rPr>
        <w:t>L’entreprise</w:t>
      </w:r>
    </w:p>
    <w:p>
      <w:pPr>
        <w:spacing w:after="40"/>
      </w:pPr>
      <w:r>
        <w:rPr>
          <w:color w:val="716E67"/>
          <w:sz w:val="17"/>
        </w:rPr>
        <w:t>Raison sociale et personne de contact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Autorisation OIBT vérifiée : oui / non, comment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la visite de validation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Ce qui a été validé</w:t>
      </w:r>
    </w:p>
    <w:p>
      <w:pPr>
        <w:spacing w:after="120"/>
      </w:pPr>
      <w:r>
        <w:rPr>
          <w:sz w:val="24"/>
        </w:rPr>
        <w:t xml:space="preserve">☐  </w:t>
      </w:r>
      <w:r>
        <w:t>Plan électrique validé, meubles compris.</w:t>
      </w:r>
    </w:p>
    <w:p>
      <w:pPr>
        <w:spacing w:after="120"/>
      </w:pPr>
      <w:r>
        <w:rPr>
          <w:sz w:val="24"/>
        </w:rPr>
        <w:t xml:space="preserve">☐  </w:t>
      </w:r>
      <w:r>
        <w:t>Emplacement du tableau accepté, avec sa profondeur.</w:t>
      </w:r>
    </w:p>
    <w:p>
      <w:pPr>
        <w:spacing w:after="120"/>
      </w:pPr>
      <w:r>
        <w:rPr>
          <w:sz w:val="24"/>
        </w:rPr>
        <w:t xml:space="preserve">☐  </w:t>
      </w:r>
      <w:r>
        <w:t>Alimentation de la parcelle définie : puissance et phases.</w:t>
      </w:r>
    </w:p>
    <w:p>
      <w:pPr>
        <w:spacing w:after="120"/>
      </w:pPr>
      <w:r>
        <w:rPr>
          <w:sz w:val="24"/>
        </w:rPr>
        <w:t xml:space="preserve">☐  </w:t>
      </w:r>
      <w:r>
        <w:t>Puissances des gros appareils relevées et transmises.</w:t>
      </w:r>
    </w:p>
    <w:p>
      <w:pPr>
        <w:spacing w:after="120"/>
      </w:pPr>
      <w:r>
        <w:rPr>
          <w:sz w:val="24"/>
        </w:rPr>
        <w:t xml:space="preserve">☐  </w:t>
      </w:r>
      <w:r>
        <w:t>Cuisine validée, avec la position de chaque appareil.</w:t>
      </w:r>
    </w:p>
    <w:p>
      <w:pPr>
        <w:spacing w:after="120"/>
      </w:pPr>
      <w:r>
        <w:rPr>
          <w:sz w:val="24"/>
        </w:rPr>
        <w:t xml:space="preserve">☐  </w:t>
      </w:r>
      <w:r>
        <w:t>Salle d’eau validée : emplacements admissibles déterminés par l’entreprise.</w:t>
      </w:r>
    </w:p>
    <w:p>
      <w:pPr>
        <w:spacing w:after="120"/>
      </w:pPr>
      <w:r>
        <w:rPr>
          <w:sz w:val="24"/>
        </w:rPr>
        <w:t xml:space="preserve">☐  </w:t>
      </w:r>
      <w:r>
        <w:t>Chauffage et chauffe-eau validés.</w:t>
      </w:r>
    </w:p>
    <w:p>
      <w:pPr>
        <w:spacing w:after="120"/>
      </w:pPr>
      <w:r>
        <w:rPr>
          <w:sz w:val="24"/>
        </w:rPr>
        <w:t xml:space="preserve">☐  </w:t>
      </w:r>
      <w:r>
        <w:t>Ventilation validée, alimentation comprise.</w:t>
      </w:r>
    </w:p>
    <w:p>
      <w:pPr>
        <w:spacing w:after="120"/>
      </w:pPr>
      <w:r>
        <w:rPr>
          <w:sz w:val="24"/>
        </w:rPr>
        <w:t xml:space="preserve">☐  </w:t>
      </w:r>
      <w:r>
        <w:t>Diamètres et cheminements des gaines validés.</w:t>
      </w:r>
    </w:p>
    <w:p>
      <w:pPr>
        <w:spacing w:after="120"/>
      </w:pPr>
      <w:r>
        <w:rPr>
          <w:sz w:val="24"/>
        </w:rPr>
        <w:t xml:space="preserve">☐  </w:t>
      </w:r>
      <w:r>
        <w:t>Boîtiers positionnés aux hauteurs convenues.</w:t>
      </w:r>
    </w:p>
    <w:p>
      <w:pPr>
        <w:spacing w:after="120"/>
      </w:pPr>
      <w:r>
        <w:rPr>
          <w:sz w:val="24"/>
        </w:rPr>
        <w:t xml:space="preserve">☐  </w:t>
      </w:r>
      <w:r>
        <w:t>Traversées de la couche étanche regroupées et traitées.</w:t>
      </w:r>
    </w:p>
    <w:p>
      <w:pPr>
        <w:spacing w:after="120"/>
      </w:pPr>
      <w:r>
        <w:rPr>
          <w:sz w:val="24"/>
        </w:rPr>
        <w:t xml:space="preserve">☐  </w:t>
      </w:r>
      <w:r>
        <w:t>Réserves futures prévues et marquées.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Ce qui reste à corriger avant de fermer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N°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 à corriger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Qui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Fait le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L’autorisation de fermer</w:t>
      </w:r>
    </w:p>
    <w:p>
      <w:pPr>
        <w:spacing w:after="40"/>
      </w:pPr>
      <w:r>
        <w:rPr>
          <w:color w:val="716E67"/>
          <w:sz w:val="17"/>
        </w:rPr>
        <w:t>Préparation acceptée par, fonction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Réserves émises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Photos archivées : oui / non, où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La réalisation de l’installation, les raccordements, les protections, les essais et le rapport de sécurité relèvent de l’entreprise autorisée. Votre part s’arrête ici.</w:t>
      </w:r>
    </w:p>
    <w:p>
      <w:pPr>
        <w:spacing w:before="280" w:after="120"/>
      </w:pPr>
      <w:r>
        <w:rPr>
          <w:b/>
          <w:color w:val="1A3C2A"/>
          <w:sz w:val="23"/>
        </w:rPr>
        <w:t>À la fin du chantier</w:t>
      </w:r>
    </w:p>
    <w:p>
      <w:pPr>
        <w:spacing w:after="120"/>
      </w:pPr>
      <w:r>
        <w:rPr>
          <w:sz w:val="24"/>
        </w:rPr>
        <w:t xml:space="preserve">☐  </w:t>
      </w:r>
      <w:r>
        <w:t>Contrôle final réalisé avant la remise de l’installation.</w:t>
      </w:r>
    </w:p>
    <w:p>
      <w:pPr>
        <w:spacing w:after="120"/>
      </w:pPr>
      <w:r>
        <w:rPr>
          <w:sz w:val="24"/>
        </w:rPr>
        <w:t xml:space="preserve">☐  </w:t>
      </w:r>
      <w:r>
        <w:t>Rapport de sécurité reçu et archivé avec le dossier de la maison.</w:t>
      </w:r>
    </w:p>
    <w:p>
      <w:pPr>
        <w:spacing w:after="120"/>
      </w:pPr>
      <w:r>
        <w:rPr>
          <w:sz w:val="24"/>
        </w:rPr>
        <w:t xml:space="preserve">☐  </w:t>
      </w:r>
      <w:r>
        <w:t>Schéma du tableau reçu et rangé avec les photos.</w:t>
      </w:r>
    </w:p>
    <w:p>
      <w:pPr>
        <w:spacing w:after="120"/>
      </w:pPr>
      <w:r>
        <w:rPr>
          <w:sz w:val="24"/>
        </w:rPr>
        <w:t xml:space="preserve">☐  </w:t>
      </w:r>
      <w:r>
        <w:t>Date du prochain contrôle périodique notée.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THS-12D · Validation avant fermeture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THS-12D    </w:t>
    </w:r>
    <w:r>
      <w:rPr>
        <w:color w:val="716E67"/>
        <w:sz w:val="16"/>
      </w:rPr>
      <w:t>Chapitre 12 — L’électricité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