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Trinkwasser</w:t>
      </w:r>
    </w:p>
    <w:p>
      <w:r>
        <w:rPr>
          <w:color w:val="716E67"/>
          <w:sz w:val="20"/>
        </w:rPr>
        <w:t>Ein Lebensmittel, kein Bewässerungskreis</w:t>
      </w:r>
    </w:p>
    <w:p>
      <w:r>
        <w:t>Leitungswasser hat den Status eines Lebensmittels. Genau deshalb regeln die SVGW-Richtlinien W3 die Hausinstallationen, vom Eintritt in das Gebäude bis zu den Entnahmestellen.</w:t>
      </w:r>
    </w:p>
    <w:p>
      <w:pPr>
        <w:spacing w:before="280" w:after="120"/>
      </w:pPr>
      <w:r>
        <w:rPr>
          <w:b/>
          <w:color w:val="1A3C2A"/>
          <w:sz w:val="23"/>
        </w:rPr>
        <w:t>Die drei Fragen an den Wasserversorger</w:t>
      </w:r>
    </w:p>
    <w:p>
      <w:pPr>
        <w:spacing w:after="40"/>
      </w:pPr>
      <w:r>
        <w:rPr>
          <w:color w:val="716E67"/>
          <w:sz w:val="17"/>
        </w:rPr>
        <w:t>— Wer darf an der Installation eingreifen, innen wie aussen?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Welches Meldeverfahren ist verlangt, und bei wem?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örtlichen Vorschriften ergänzen die SVGW-Richtlinien?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Wer macht was</w:t>
      </w:r>
    </w:p>
    <w:p>
      <w:pPr>
        <w:spacing w:after="40"/>
      </w:pPr>
      <w:r>
        <w:rPr>
          <w:color w:val="716E67"/>
          <w:sz w:val="17"/>
        </w:rPr>
        <w:t>Wasserversorger der Gemeinde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Kontaktierte Person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Konzessionierter Installateur verlangt: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Gewählter Installateur: Betrieb und Kontakt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Das Material</w:t>
      </w:r>
    </w:p>
    <w:p>
      <w:pPr>
        <w:spacing w:after="120"/>
      </w:pPr>
      <w:r>
        <w:rPr>
          <w:sz w:val="24"/>
        </w:rPr>
        <w:t xml:space="preserve">☐  </w:t>
      </w:r>
      <w:r>
        <w:t>Jedes Bauteil mit Trinkwasserkontakt ist für diesen Einsatz vorgesehen.</w:t>
      </w:r>
    </w:p>
    <w:p>
      <w:pPr>
        <w:spacing w:after="120"/>
      </w:pPr>
      <w:r>
        <w:rPr>
          <w:sz w:val="24"/>
        </w:rPr>
        <w:t xml:space="preserve">☐  </w:t>
      </w:r>
      <w:r>
        <w:t>Die Konformität mit den geltenden Zertifizierungsanforderungen ist belegt.</w:t>
      </w:r>
    </w:p>
    <w:p>
      <w:pPr>
        <w:spacing w:after="120"/>
      </w:pPr>
      <w:r>
        <w:rPr>
          <w:sz w:val="24"/>
        </w:rPr>
        <w:t xml:space="preserve">☐  </w:t>
      </w:r>
      <w:r>
        <w:t>Die Referenzen wurden vom Installateur freigegeben, nicht online gewählt.</w:t>
      </w:r>
    </w:p>
    <w:p>
      <w:pPr>
        <w:spacing w:after="120"/>
      </w:pPr>
      <w:r>
        <w:rPr>
          <w:sz w:val="24"/>
        </w:rPr>
        <w:t xml:space="preserve">☐  </w:t>
      </w:r>
      <w:r>
        <w:t>Eingebaute Teile sind als Rohr im Schutzrohr verlegt.</w:t>
      </w:r>
    </w:p>
    <w:p>
      <w:pPr>
        <w:spacing w:after="120"/>
      </w:pPr>
      <w:r>
        <w:rPr>
          <w:sz w:val="24"/>
        </w:rPr>
        <w:t xml:space="preserve">☐  </w:t>
      </w:r>
      <w:r>
        <w:t>Keine Verbindung liegt hinter einer endgültigen Bekleidung.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Die Totleitungen</w:t>
      </w:r>
    </w:p>
    <w:p>
      <w:r>
        <w:rPr>
          <w:i/>
          <w:color w:val="716E67"/>
          <w:sz w:val="16"/>
        </w:rPr>
        <w:t>Eine Leitung, die nichts versorgt, hält stehendes Wasser. Ein leeres Leerrohr ist fast immer besser als eine angeschlossene, ungenutzte Wasserleitung.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Vorgesehene Erweiterung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Gewählte Lösung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Freigegeben von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Entleerung, wenn das Haus mobil bleibt</w:t>
      </w:r>
    </w:p>
    <w:p>
      <w:pPr>
        <w:spacing w:after="120"/>
      </w:pPr>
      <w:r>
        <w:rPr>
          <w:sz w:val="24"/>
        </w:rPr>
        <w:t xml:space="preserve">☐  </w:t>
      </w:r>
      <w:r>
        <w:t>Das Haus kann transportiert werden oder im Winter unbewohnt bleiben.</w:t>
      </w:r>
    </w:p>
    <w:p>
      <w:pPr>
        <w:spacing w:after="120"/>
      </w:pPr>
      <w:r>
        <w:rPr>
          <w:sz w:val="24"/>
        </w:rPr>
        <w:t xml:space="preserve">☐  </w:t>
      </w:r>
      <w:r>
        <w:t>Eine vollständige Entleerungsstrategie wurde vom Sanitär festgelegt.</w:t>
      </w:r>
    </w:p>
    <w:p>
      <w:pPr>
        <w:spacing w:after="120"/>
      </w:pPr>
      <w:r>
        <w:rPr>
          <w:sz w:val="24"/>
        </w:rPr>
        <w:t xml:space="preserve">☐  </w:t>
      </w:r>
      <w:r>
        <w:t>Die gesamte Leitungsführung ist zum Entleeren ausgelegt, nicht nur der Tiefpunkt.</w:t>
      </w:r>
    </w:p>
    <w:p>
      <w:pPr>
        <w:spacing w:after="120"/>
      </w:pPr>
      <w:r>
        <w:rPr>
          <w:sz w:val="24"/>
        </w:rPr>
        <w:t xml:space="preserve">☐  </w:t>
      </w:r>
      <w:r>
        <w:t>Die Entleerungsstellen sind ohne Demontage zugänglich.</w:t>
      </w:r>
    </w:p>
    <w:p>
      <w:r>
        <w:rPr>
          <w:b/>
          <w:color w:val="1A3C2A"/>
        </w:rPr>
        <w:t>Ein Entleerungshahn, der zehn Wassersäcke im Netz stehen lässt, entleert nichts: es zählt die Leitungsführung, nicht der Hahn.</w:t>
      </w:r>
    </w:p>
    <w:p>
      <w:pPr>
        <w:spacing w:before="280" w:after="120"/>
      </w:pPr>
      <w:r>
        <w:rPr>
          <w:b/>
          <w:color w:val="1A3C2A"/>
          <w:sz w:val="23"/>
        </w:rPr>
        <w:t>Lage des Wassererwärmers</w:t>
      </w:r>
    </w:p>
    <w:p>
      <w:pPr>
        <w:spacing w:after="40"/>
      </w:pPr>
      <w:r>
        <w:rPr>
          <w:color w:val="716E67"/>
          <w:sz w:val="17"/>
        </w:rPr>
        <w:t>Gewählte Lage,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Distanz zu Dusche, Waschtisch und Spüle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Stromzuführung mit Kapitel 12 abgestimmt: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Offen gebliebene Punkte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THS-13C · Trinkwasser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THS-13C    </w:t>
    </w:r>
    <w:r>
      <w:rPr>
        <w:color w:val="716E67"/>
        <w:sz w:val="16"/>
      </w:rPr>
      <w:t>Kapitel 13 — Die Sanitärinstallation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