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b/>
          <w:color w:val="161A15"/>
          <w:sz w:val="40"/>
        </w:rPr>
        <w:t>Eau potable</w:t>
      </w:r>
    </w:p>
    <w:p>
      <w:r>
        <w:rPr>
          <w:color w:val="716E67"/>
          <w:sz w:val="20"/>
        </w:rPr>
        <w:t>Une denrée alimentaire, pas un circuit d’arrosage</w:t>
      </w:r>
    </w:p>
    <w:p>
      <w:r>
        <w:t>L’eau du robinet a le statut de denrée alimentaire. C’est ce qui justifie l’encadrement des installations intérieures par les directives SSIGE W3, de l’entrée dans le bâtiment jusqu’aux points de soutirage.</w:t>
      </w:r>
    </w:p>
    <w:p>
      <w:pPr>
        <w:spacing w:before="280" w:after="120"/>
      </w:pPr>
      <w:r>
        <w:rPr>
          <w:b/>
          <w:color w:val="1A3C2A"/>
          <w:sz w:val="23"/>
        </w:rPr>
        <w:t>Les trois questions à poser au distributeur d’eau</w:t>
      </w:r>
    </w:p>
    <w:p>
      <w:pPr>
        <w:spacing w:after="40"/>
      </w:pPr>
      <w:r>
        <w:rPr>
          <w:color w:val="716E67"/>
          <w:sz w:val="17"/>
        </w:rPr>
        <w:t>— Qui peut intervenir sur l’installation, intérieure et extérieure ?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— Quelle procédure d’annonce est requise, et auprès de qui ?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— Quelles prescriptions locales complètent les directives SSIGE ?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before="280" w:after="120"/>
      </w:pPr>
      <w:r>
        <w:rPr>
          <w:b/>
          <w:color w:val="1A3C2A"/>
          <w:sz w:val="23"/>
        </w:rPr>
        <w:t>Qui fait quoi</w:t>
      </w:r>
    </w:p>
    <w:p>
      <w:pPr>
        <w:spacing w:after="40"/>
      </w:pPr>
      <w:r>
        <w:rPr>
          <w:color w:val="716E67"/>
          <w:sz w:val="17"/>
        </w:rPr>
        <w:t>Distributeur d’eau de la commune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Personne contactée et date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Installateur concessionnaire exigé : oui / non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Installateur retenu : entreprise et contact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before="280" w:after="120"/>
      </w:pPr>
      <w:r>
        <w:rPr>
          <w:b/>
          <w:color w:val="1A3C2A"/>
          <w:sz w:val="23"/>
        </w:rPr>
        <w:t>Le matériel</w:t>
      </w:r>
    </w:p>
    <w:p>
      <w:pPr>
        <w:spacing w:after="120"/>
      </w:pPr>
      <w:r>
        <w:rPr>
          <w:sz w:val="24"/>
        </w:rPr>
        <w:t xml:space="preserve">☐  </w:t>
      </w:r>
      <w:r>
        <w:t>Chaque composant en contact avec l’eau potable est prévu pour cet usage.</w:t>
      </w:r>
    </w:p>
    <w:p>
      <w:pPr>
        <w:spacing w:after="120"/>
      </w:pPr>
      <w:r>
        <w:rPr>
          <w:sz w:val="24"/>
        </w:rPr>
        <w:t xml:space="preserve">☐  </w:t>
      </w:r>
      <w:r>
        <w:t>La conformité aux exigences de certification applicables est établie.</w:t>
      </w:r>
    </w:p>
    <w:p>
      <w:pPr>
        <w:spacing w:after="120"/>
      </w:pPr>
      <w:r>
        <w:rPr>
          <w:sz w:val="24"/>
        </w:rPr>
        <w:t xml:space="preserve">☐  </w:t>
      </w:r>
      <w:r>
        <w:t>Les références ont été validées par l’installateur, pas choisies en ligne.</w:t>
      </w:r>
    </w:p>
    <w:p>
      <w:pPr>
        <w:spacing w:after="120"/>
      </w:pPr>
      <w:r>
        <w:rPr>
          <w:sz w:val="24"/>
        </w:rPr>
        <w:t xml:space="preserve">☐  </w:t>
      </w:r>
      <w:r>
        <w:t>Les parties incorporées sont posées en tube dans un tube de protection.</w:t>
      </w:r>
    </w:p>
    <w:p>
      <w:pPr>
        <w:spacing w:after="120"/>
      </w:pPr>
      <w:r>
        <w:rPr>
          <w:sz w:val="24"/>
        </w:rPr>
        <w:t xml:space="preserve">☐  </w:t>
      </w:r>
      <w:r>
        <w:t>Aucun raccord ne se retrouve enfermé derrière un parement définitif.</w:t>
      </w:r>
    </w:p>
    <w:p>
      <w:r>
        <w:br w:type="page"/>
      </w:r>
    </w:p>
    <w:p>
      <w:pPr>
        <w:spacing w:before="280" w:after="120"/>
      </w:pPr>
      <w:r>
        <w:rPr>
          <w:b/>
          <w:color w:val="1A3C2A"/>
          <w:sz w:val="23"/>
        </w:rPr>
        <w:t>Les branches mortes</w:t>
      </w:r>
    </w:p>
    <w:p>
      <w:r>
        <w:rPr>
          <w:i/>
          <w:color w:val="716E67"/>
          <w:sz w:val="16"/>
        </w:rPr>
        <w:t>Une conduite qui n’alimente rien garde de l’eau stagnante. Une gaine vide vaut presque toujours mieux qu’une conduite d’eau déjà raccordée et inutilisée.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Extension envisagée</w:t>
            </w:r>
          </w:p>
        </w:tc>
        <w:tc>
          <w:tcPr>
            <w:tcW w:type="dxa" w:w="3213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Solution retenue</w:t>
            </w:r>
          </w:p>
        </w:tc>
        <w:tc>
          <w:tcPr>
            <w:tcW w:type="dxa" w:w="3213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Validée par</w:t>
            </w:r>
          </w:p>
        </w:tc>
      </w:tr>
      <w:tr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</w:tr>
    </w:tbl>
    <w:p>
      <w:pPr>
        <w:spacing w:before="280" w:after="120"/>
      </w:pPr>
      <w:r>
        <w:rPr>
          <w:b/>
          <w:color w:val="1A3C2A"/>
          <w:sz w:val="23"/>
        </w:rPr>
        <w:t>La vidange, si la maison reste mobile</w:t>
      </w:r>
    </w:p>
    <w:p>
      <w:pPr>
        <w:spacing w:after="120"/>
      </w:pPr>
      <w:r>
        <w:rPr>
          <w:sz w:val="24"/>
        </w:rPr>
        <w:t xml:space="preserve">☐  </w:t>
      </w:r>
      <w:r>
        <w:t>La maison peut être transportée ou rester inhabitée en hiver.</w:t>
      </w:r>
    </w:p>
    <w:p>
      <w:pPr>
        <w:spacing w:after="120"/>
      </w:pPr>
      <w:r>
        <w:rPr>
          <w:sz w:val="24"/>
        </w:rPr>
        <w:t xml:space="preserve">☐  </w:t>
      </w:r>
      <w:r>
        <w:t>Une stratégie de vidange complète a été définie par le sanitaire.</w:t>
      </w:r>
    </w:p>
    <w:p>
      <w:pPr>
        <w:spacing w:after="120"/>
      </w:pPr>
      <w:r>
        <w:rPr>
          <w:sz w:val="24"/>
        </w:rPr>
        <w:t xml:space="preserve">☐  </w:t>
      </w:r>
      <w:r>
        <w:t>Le tracé entier est conçu pour se vider, pas seulement le point bas.</w:t>
      </w:r>
    </w:p>
    <w:p>
      <w:pPr>
        <w:spacing w:after="120"/>
      </w:pPr>
      <w:r>
        <w:rPr>
          <w:sz w:val="24"/>
        </w:rPr>
        <w:t xml:space="preserve">☐  </w:t>
      </w:r>
      <w:r>
        <w:t>Les points de vidange sont accessibles sans démontage.</w:t>
      </w:r>
    </w:p>
    <w:p>
      <w:r>
        <w:rPr>
          <w:b/>
          <w:color w:val="1A3C2A"/>
        </w:rPr>
        <w:t>Un robinet de vidange qui laisse dix poches d’eau dans le réseau ne vidange rien : c’est le tracé qui compte, pas le robinet.</w:t>
      </w:r>
    </w:p>
    <w:p>
      <w:pPr>
        <w:spacing w:before="280" w:after="120"/>
      </w:pPr>
      <w:r>
        <w:rPr>
          <w:b/>
          <w:color w:val="1A3C2A"/>
          <w:sz w:val="23"/>
        </w:rPr>
        <w:t>Position du chauffe-eau</w:t>
      </w:r>
    </w:p>
    <w:p>
      <w:pPr>
        <w:spacing w:after="40"/>
      </w:pPr>
      <w:r>
        <w:rPr>
          <w:color w:val="716E67"/>
          <w:sz w:val="17"/>
        </w:rPr>
        <w:t>Emplacement retenu, et pourquoi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Distance jusqu’à la douche, au lavabo et à l’évier (m)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Alimentation électrique coordonnée avec le chapitre 12 : oui / non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before="280" w:after="120"/>
      </w:pPr>
      <w:r>
        <w:rPr>
          <w:b/>
          <w:color w:val="1A3C2A"/>
          <w:sz w:val="23"/>
        </w:rPr>
        <w:t>Points restés ouverts</w:t>
      </w: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before="320"/>
      </w:pPr>
      <w:r>
        <w:rPr>
          <w:color w:val="716E67"/>
          <w:sz w:val="15"/>
        </w:rPr>
        <w:t>Document préparé par Tiny House Suisse — reproduction libre pour usage personnel.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16E67"/>
        <w:sz w:val="14"/>
      </w:rPr>
      <w:t>THS-13C · Eau potable · Tiny House Suisse — Guide d’autoconstruction  ·  www.tinyhousesuisse.ch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b/>
        <w:color w:val="1A3C2A"/>
        <w:sz w:val="16"/>
      </w:rPr>
      <w:t xml:space="preserve">THS-13C    </w:t>
    </w:r>
    <w:r>
      <w:rPr>
        <w:color w:val="716E67"/>
        <w:sz w:val="16"/>
      </w:rPr>
      <w:t>Chapitre 13 — La plomberie</w:t>
    </w:r>
    <w:r>
      <w:tab/>
      <w:tab/>
    </w:r>
    <w:r>
      <w:drawing>
        <wp:inline xmlns:a="http://schemas.openxmlformats.org/drawingml/2006/main" xmlns:pic="http://schemas.openxmlformats.org/drawingml/2006/picture">
          <wp:extent cx="396000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96000" cy="396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61A1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