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Schnittstelle zum Grundstück</w:t>
      </w:r>
    </w:p>
    <w:p>
      <w:r>
        <w:rPr>
          <w:color w:val="716E67"/>
          <w:sz w:val="20"/>
        </w:rPr>
        <w:t>Das Haus an einem Vormittag anschliessen — oder zwei Tage suchen</w:t>
      </w:r>
    </w:p>
    <w:p>
      <w:r>
        <w:t>Ein transportierbares Haus muss nach dem Aufstellen angeschlossen werden können, ohne dass der Boden wieder geöffnet wird. Alles hier wird vor dem Schliessen entschieden und schriftlich festgehalten.</w:t>
      </w:r>
    </w:p>
    <w:p>
      <w:pPr>
        <w:spacing w:before="280" w:after="120"/>
      </w:pPr>
      <w:r>
        <w:rPr>
          <w:b/>
          <w:color w:val="1A3C2A"/>
          <w:sz w:val="23"/>
        </w:rPr>
        <w:t>Wassereintritt</w:t>
      </w:r>
    </w:p>
    <w:p>
      <w:pPr>
        <w:spacing w:after="40"/>
      </w:pPr>
      <w:r>
        <w:rPr>
          <w:color w:val="716E67"/>
          <w:sz w:val="17"/>
        </w:rPr>
        <w:t>Lage, bemasst ab einer Ecke des Rahmens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Höhe gegenüber der Unterseite des Bodens (cm)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Gewählte Anschlussart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Hauptabsperrhahn: Lage und Zugänglichkeit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Vorgesehener Frostschutz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Abwasseraustritt</w:t>
      </w:r>
    </w:p>
    <w:p>
      <w:pPr>
        <w:spacing w:after="40"/>
      </w:pPr>
      <w:r>
        <w:rPr>
          <w:color w:val="716E67"/>
          <w:sz w:val="17"/>
        </w:rPr>
        <w:t>Lage, bemasst ab derselben Ecke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Austrittshöhe (cm)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Durchmesser und Anschlussart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Verfügbares Gefälle bis zum Anschlusspunkt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Halterung und Schutz unter dem Rahmen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Der Anschlusspunkt auf der Parzelle</w:t>
      </w:r>
    </w:p>
    <w:p>
      <w:pPr>
        <w:spacing w:after="40"/>
      </w:pPr>
      <w:r>
        <w:rPr>
          <w:color w:val="716E67"/>
          <w:sz w:val="17"/>
        </w:rPr>
        <w:t>Abstand zwischen Haus und Anschlusspunkt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Verfügbarer Höhenunterschied auf dieser Strecke (cm)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Betrieb, der die Endinstallation ausführt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Erforderliche Bewilligung oder Meldung: welche, und bei wem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Skizze der Schnittstelle, Ansicht von unten</w:t>
      </w:r>
    </w:p>
    <w:p>
      <w:pPr>
        <w:spacing w:before="280" w:after="120"/>
      </w:pPr>
      <w:r>
        <w:rPr>
          <w:b/>
          <w:color w:val="1A3C2A"/>
          <w:sz w:val="23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4762"/>
        </w:trPr>
        <w:tc>
          <w:tcPr>
            <w:tcW w:type="dxa" w:w="9638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Transport und Wiederinbetriebnahme</w:t>
      </w:r>
    </w:p>
    <w:p>
      <w:pPr>
        <w:spacing w:after="120"/>
      </w:pPr>
      <w:r>
        <w:rPr>
          <w:sz w:val="24"/>
        </w:rPr>
        <w:t xml:space="preserve">☐  </w:t>
      </w:r>
      <w:r>
        <w:t>Die Leitungen unter dem Haus halten Vibrationen und Steinschlag stand.</w:t>
      </w:r>
    </w:p>
    <w:p>
      <w:pPr>
        <w:spacing w:after="120"/>
      </w:pPr>
      <w:r>
        <w:rPr>
          <w:sz w:val="24"/>
        </w:rPr>
        <w:t xml:space="preserve">☐  </w:t>
      </w:r>
      <w:r>
        <w:t>Kein Rohr hängt frei unter dem Rahmen.</w:t>
      </w:r>
    </w:p>
    <w:p>
      <w:pPr>
        <w:spacing w:after="120"/>
      </w:pPr>
      <w:r>
        <w:rPr>
          <w:sz w:val="24"/>
        </w:rPr>
        <w:t xml:space="preserve">☐  </w:t>
      </w:r>
      <w:r>
        <w:t>Die äusseren Anschlüsse sind während des Transports geschützt.</w:t>
      </w:r>
    </w:p>
    <w:p>
      <w:pPr>
        <w:spacing w:after="120"/>
      </w:pPr>
      <w:r>
        <w:rPr>
          <w:sz w:val="24"/>
        </w:rPr>
        <w:t xml:space="preserve">☐  </w:t>
      </w:r>
      <w:r>
        <w:t>Das Vorgehen zur Entleerung vor dem Transport ist schriftlich festgehalten.</w:t>
      </w:r>
    </w:p>
    <w:p>
      <w:pPr>
        <w:spacing w:after="120"/>
      </w:pPr>
      <w:r>
        <w:rPr>
          <w:sz w:val="24"/>
        </w:rPr>
        <w:t xml:space="preserve">☐  </w:t>
      </w:r>
      <w:r>
        <w:t>Das Vorgehen zur Wiederbefüllung ist schriftlich festgehalten.</w:t>
      </w:r>
    </w:p>
    <w:p>
      <w:r>
        <w:rPr>
          <w:b/>
          <w:color w:val="1A3C2A"/>
        </w:rPr>
        <w:t>Die Frage aus Kapitel 3 gilt auch hier: Was geschieht mit dieser Leitung, wenn der Anhänger durch ein Schlagloch fährt?</w:t>
      </w:r>
    </w:p>
    <w:p>
      <w:pPr>
        <w:spacing w:before="280" w:after="120"/>
      </w:pPr>
      <w:r>
        <w:rPr>
          <w:b/>
          <w:color w:val="1A3C2A"/>
          <w:sz w:val="23"/>
        </w:rPr>
        <w:t>Was noch zu entscheiden ist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THS-13E · Schnittstelle zum Grundstück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THS-13E    </w:t>
    </w:r>
    <w:r>
      <w:rPr>
        <w:color w:val="716E67"/>
        <w:sz w:val="16"/>
      </w:rPr>
      <w:t>Kapitel 13 — Die Sanitärinstallation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