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b/>
          <w:color w:val="161A15"/>
          <w:sz w:val="40"/>
        </w:rPr>
        <w:t>Interface avec le terrain</w:t>
      </w:r>
    </w:p>
    <w:p>
      <w:r>
        <w:rPr>
          <w:color w:val="716E67"/>
          <w:sz w:val="20"/>
        </w:rPr>
        <w:t>Brancher la maison en une matinée, ou chercher pendant deux jours</w:t>
      </w:r>
    </w:p>
    <w:p>
      <w:r>
        <w:t>Une maison transportable doit pouvoir être raccordée une fois posée, sans qu’on rouvre le plancher. Tout ce qui figure ici se décide avant la fermeture, et se note noir sur blanc.</w:t>
      </w:r>
    </w:p>
    <w:p>
      <w:pPr>
        <w:spacing w:before="280" w:after="120"/>
      </w:pPr>
      <w:r>
        <w:rPr>
          <w:b/>
          <w:color w:val="1A3C2A"/>
          <w:sz w:val="23"/>
        </w:rPr>
        <w:t>Arrivée d’eau</w:t>
      </w:r>
    </w:p>
    <w:p>
      <w:pPr>
        <w:spacing w:after="40"/>
      </w:pPr>
      <w:r>
        <w:rPr>
          <w:color w:val="716E67"/>
          <w:sz w:val="17"/>
        </w:rPr>
        <w:t>Emplacement, coté depuis un angle du châssis</w:t>
      </w:r>
    </w:p>
    <w:p>
      <w:pPr>
        <w:spacing w:after="200" w:before="160"/>
        <w:pBdr>
          <w:bottom w:val="single" w:sz="4" w:space="1" w:color="D5D2CA"/>
        </w:pBdr>
      </w:pPr>
    </w:p>
    <w:p>
      <w:pPr>
        <w:spacing w:after="40"/>
      </w:pPr>
      <w:r>
        <w:rPr>
          <w:color w:val="716E67"/>
          <w:sz w:val="17"/>
        </w:rPr>
        <w:t>Hauteur par rapport au dessous du plancher (cm)</w:t>
      </w:r>
    </w:p>
    <w:p>
      <w:pPr>
        <w:spacing w:after="200" w:before="160"/>
        <w:pBdr>
          <w:bottom w:val="single" w:sz="4" w:space="1" w:color="D5D2CA"/>
        </w:pBdr>
      </w:pPr>
    </w:p>
    <w:p>
      <w:pPr>
        <w:spacing w:after="40"/>
      </w:pPr>
      <w:r>
        <w:rPr>
          <w:color w:val="716E67"/>
          <w:sz w:val="17"/>
        </w:rPr>
        <w:t>Type de raccord retenu</w:t>
      </w:r>
    </w:p>
    <w:p>
      <w:pPr>
        <w:spacing w:after="200" w:before="160"/>
        <w:pBdr>
          <w:bottom w:val="single" w:sz="4" w:space="1" w:color="D5D2CA"/>
        </w:pBdr>
      </w:pPr>
    </w:p>
    <w:p>
      <w:pPr>
        <w:spacing w:after="40"/>
      </w:pPr>
      <w:r>
        <w:rPr>
          <w:color w:val="716E67"/>
          <w:sz w:val="17"/>
        </w:rPr>
        <w:t>Vanne générale : emplacement et accessibilité</w:t>
      </w:r>
    </w:p>
    <w:p>
      <w:pPr>
        <w:spacing w:after="200" w:before="160"/>
        <w:pBdr>
          <w:bottom w:val="single" w:sz="4" w:space="1" w:color="D5D2CA"/>
        </w:pBdr>
      </w:pPr>
    </w:p>
    <w:p>
      <w:pPr>
        <w:spacing w:after="40"/>
      </w:pPr>
      <w:r>
        <w:rPr>
          <w:color w:val="716E67"/>
          <w:sz w:val="17"/>
        </w:rPr>
        <w:t>Protection contre le gel prévue</w:t>
      </w:r>
    </w:p>
    <w:p>
      <w:pPr>
        <w:spacing w:after="200" w:before="160"/>
        <w:pBdr>
          <w:bottom w:val="single" w:sz="4" w:space="1" w:color="D5D2CA"/>
        </w:pBdr>
      </w:pPr>
    </w:p>
    <w:p>
      <w:pPr>
        <w:spacing w:before="280" w:after="120"/>
      </w:pPr>
      <w:r>
        <w:rPr>
          <w:b/>
          <w:color w:val="1A3C2A"/>
          <w:sz w:val="23"/>
        </w:rPr>
        <w:t>Sortie des eaux usées</w:t>
      </w:r>
    </w:p>
    <w:p>
      <w:pPr>
        <w:spacing w:after="40"/>
      </w:pPr>
      <w:r>
        <w:rPr>
          <w:color w:val="716E67"/>
          <w:sz w:val="17"/>
        </w:rPr>
        <w:t>Emplacement, coté depuis le même angle</w:t>
      </w:r>
    </w:p>
    <w:p>
      <w:pPr>
        <w:spacing w:after="200" w:before="160"/>
        <w:pBdr>
          <w:bottom w:val="single" w:sz="4" w:space="1" w:color="D5D2CA"/>
        </w:pBdr>
      </w:pPr>
    </w:p>
    <w:p>
      <w:pPr>
        <w:spacing w:after="40"/>
      </w:pPr>
      <w:r>
        <w:rPr>
          <w:color w:val="716E67"/>
          <w:sz w:val="17"/>
        </w:rPr>
        <w:t>Hauteur de sortie (cm)</w:t>
      </w:r>
    </w:p>
    <w:p>
      <w:pPr>
        <w:spacing w:after="200" w:before="160"/>
        <w:pBdr>
          <w:bottom w:val="single" w:sz="4" w:space="1" w:color="D5D2CA"/>
        </w:pBdr>
      </w:pPr>
    </w:p>
    <w:p>
      <w:pPr>
        <w:spacing w:after="40"/>
      </w:pPr>
      <w:r>
        <w:rPr>
          <w:color w:val="716E67"/>
          <w:sz w:val="17"/>
        </w:rPr>
        <w:t>Diamètre et type de raccord</w:t>
      </w:r>
    </w:p>
    <w:p>
      <w:pPr>
        <w:spacing w:after="200" w:before="160"/>
        <w:pBdr>
          <w:bottom w:val="single" w:sz="4" w:space="1" w:color="D5D2CA"/>
        </w:pBdr>
      </w:pPr>
    </w:p>
    <w:p>
      <w:pPr>
        <w:spacing w:after="40"/>
      </w:pPr>
      <w:r>
        <w:rPr>
          <w:color w:val="716E67"/>
          <w:sz w:val="17"/>
        </w:rPr>
        <w:t>Pente disponible jusqu’au point de raccordement</w:t>
      </w:r>
    </w:p>
    <w:p>
      <w:pPr>
        <w:spacing w:after="200" w:before="160"/>
        <w:pBdr>
          <w:bottom w:val="single" w:sz="4" w:space="1" w:color="D5D2CA"/>
        </w:pBdr>
      </w:pPr>
    </w:p>
    <w:p>
      <w:pPr>
        <w:spacing w:after="40"/>
      </w:pPr>
      <w:r>
        <w:rPr>
          <w:color w:val="716E67"/>
          <w:sz w:val="17"/>
        </w:rPr>
        <w:t>Support et protection sous le châssis</w:t>
      </w:r>
    </w:p>
    <w:p>
      <w:pPr>
        <w:spacing w:after="200" w:before="160"/>
        <w:pBdr>
          <w:bottom w:val="single" w:sz="4" w:space="1" w:color="D5D2CA"/>
        </w:pBdr>
      </w:pPr>
    </w:p>
    <w:p>
      <w:pPr>
        <w:spacing w:before="280" w:after="120"/>
      </w:pPr>
      <w:r>
        <w:rPr>
          <w:b/>
          <w:color w:val="1A3C2A"/>
          <w:sz w:val="23"/>
        </w:rPr>
        <w:t>Le point de raccordement sur la parcelle</w:t>
      </w:r>
    </w:p>
    <w:p>
      <w:pPr>
        <w:spacing w:after="40"/>
      </w:pPr>
      <w:r>
        <w:rPr>
          <w:color w:val="716E67"/>
          <w:sz w:val="17"/>
        </w:rPr>
        <w:t>Distance entre la maison et le point de raccordement (m)</w:t>
      </w:r>
    </w:p>
    <w:p>
      <w:pPr>
        <w:spacing w:after="200" w:before="160"/>
        <w:pBdr>
          <w:bottom w:val="single" w:sz="4" w:space="1" w:color="D5D2CA"/>
        </w:pBdr>
      </w:pPr>
    </w:p>
    <w:p>
      <w:pPr>
        <w:spacing w:after="40"/>
      </w:pPr>
      <w:r>
        <w:rPr>
          <w:color w:val="716E67"/>
          <w:sz w:val="17"/>
        </w:rPr>
        <w:t>Dénivelé disponible sur cette distance (cm)</w:t>
      </w:r>
    </w:p>
    <w:p>
      <w:pPr>
        <w:spacing w:after="200" w:before="160"/>
        <w:pBdr>
          <w:bottom w:val="single" w:sz="4" w:space="1" w:color="D5D2CA"/>
        </w:pBdr>
      </w:pPr>
    </w:p>
    <w:p>
      <w:pPr>
        <w:spacing w:after="40"/>
      </w:pPr>
      <w:r>
        <w:rPr>
          <w:color w:val="716E67"/>
          <w:sz w:val="17"/>
        </w:rPr>
        <w:t>Entreprise qui réalise l’installation finale</w:t>
      </w:r>
    </w:p>
    <w:p>
      <w:pPr>
        <w:spacing w:after="200" w:before="160"/>
        <w:pBdr>
          <w:bottom w:val="single" w:sz="4" w:space="1" w:color="D5D2CA"/>
        </w:pBdr>
      </w:pPr>
    </w:p>
    <w:p>
      <w:pPr>
        <w:spacing w:after="40"/>
      </w:pPr>
      <w:r>
        <w:rPr>
          <w:color w:val="716E67"/>
          <w:sz w:val="17"/>
        </w:rPr>
        <w:t>Autorisation ou annonce requise : laquelle, et auprès de qui</w:t>
      </w:r>
    </w:p>
    <w:p>
      <w:pPr>
        <w:spacing w:after="200" w:before="160"/>
        <w:pBdr>
          <w:bottom w:val="single" w:sz="4" w:space="1" w:color="D5D2CA"/>
        </w:pBdr>
      </w:pPr>
    </w:p>
    <w:p>
      <w:r>
        <w:br w:type="page"/>
      </w:r>
    </w:p>
    <w:p>
      <w:pPr>
        <w:spacing w:before="280" w:after="120"/>
      </w:pPr>
      <w:r>
        <w:rPr>
          <w:b/>
          <w:color w:val="1A3C2A"/>
          <w:sz w:val="23"/>
        </w:rPr>
        <w:t>Croquis de l’interface, vue de dessous</w:t>
      </w:r>
    </w:p>
    <w:p>
      <w:pPr>
        <w:spacing w:before="280" w:after="120"/>
      </w:pPr>
      <w:r>
        <w:rPr>
          <w:b/>
          <w:color w:val="1A3C2A"/>
          <w:sz w:val="23"/>
        </w:rPr>
      </w:r>
    </w:p>
    <w:tbl>
      <w:tblPr>
        <w:tblStyle w:val="TableGrid"/>
        <w:tblW w:type="auto" w:w="0"/>
        <w:tblLook w:firstColumn="1" w:firstRow="1" w:lastColumn="0" w:lastRow="0" w:noHBand="0" w:noVBand="1" w:val="04A0"/>
      </w:tblPr>
      <w:tblGrid>
        <w:gridCol w:w="9638"/>
      </w:tblGrid>
      <w:tr>
        <w:trPr>
          <w:trHeight w:val="4762"/>
        </w:trPr>
        <w:tc>
          <w:tcPr>
            <w:tcW w:type="dxa" w:w="9638"/>
          </w:tcPr>
          <w:p>
            <w:r/>
          </w:p>
        </w:tc>
      </w:tr>
    </w:tbl>
    <w:p>
      <w:pPr>
        <w:spacing w:before="280" w:after="120"/>
      </w:pPr>
      <w:r>
        <w:rPr>
          <w:b/>
          <w:color w:val="1A3C2A"/>
          <w:sz w:val="23"/>
        </w:rPr>
        <w:t>Transport et remise en service</w:t>
      </w:r>
    </w:p>
    <w:p>
      <w:pPr>
        <w:spacing w:after="120"/>
      </w:pPr>
      <w:r>
        <w:rPr>
          <w:sz w:val="24"/>
        </w:rPr>
        <w:t xml:space="preserve">☐  </w:t>
      </w:r>
      <w:r>
        <w:t>Les conduites sous la maison résistent aux vibrations et aux projections.</w:t>
      </w:r>
    </w:p>
    <w:p>
      <w:pPr>
        <w:spacing w:after="120"/>
      </w:pPr>
      <w:r>
        <w:rPr>
          <w:sz w:val="24"/>
        </w:rPr>
        <w:t xml:space="preserve">☐  </w:t>
      </w:r>
      <w:r>
        <w:t>Aucun tuyau ne pend librement sous le châssis.</w:t>
      </w:r>
    </w:p>
    <w:p>
      <w:pPr>
        <w:spacing w:after="120"/>
      </w:pPr>
      <w:r>
        <w:rPr>
          <w:sz w:val="24"/>
        </w:rPr>
        <w:t xml:space="preserve">☐  </w:t>
      </w:r>
      <w:r>
        <w:t>Les raccords extérieurs sont protégés pendant le transport.</w:t>
      </w:r>
    </w:p>
    <w:p>
      <w:pPr>
        <w:spacing w:after="120"/>
      </w:pPr>
      <w:r>
        <w:rPr>
          <w:sz w:val="24"/>
        </w:rPr>
        <w:t xml:space="preserve">☐  </w:t>
      </w:r>
      <w:r>
        <w:t>La procédure de vidange avant transport est écrite.</w:t>
      </w:r>
    </w:p>
    <w:p>
      <w:pPr>
        <w:spacing w:after="120"/>
      </w:pPr>
      <w:r>
        <w:rPr>
          <w:sz w:val="24"/>
        </w:rPr>
        <w:t xml:space="preserve">☐  </w:t>
      </w:r>
      <w:r>
        <w:t>La procédure de remise en eau est écrite.</w:t>
      </w:r>
    </w:p>
    <w:p>
      <w:r>
        <w:rPr>
          <w:b/>
          <w:color w:val="1A3C2A"/>
        </w:rPr>
        <w:t>La question du chapitre 3 vaut aussi ici : qu’arrive-t-il à cette canalisation quand la remorque passe dans un nid-de-poule ?</w:t>
      </w:r>
    </w:p>
    <w:p>
      <w:pPr>
        <w:spacing w:before="280" w:after="120"/>
      </w:pPr>
      <w:r>
        <w:rPr>
          <w:b/>
          <w:color w:val="1A3C2A"/>
          <w:sz w:val="23"/>
        </w:rPr>
        <w:t>Ce qui reste à arbitrer</w:t>
      </w:r>
    </w:p>
    <w:p>
      <w:pPr>
        <w:spacing w:after="40"/>
      </w:pPr>
      <w:r>
        <w:rPr>
          <w:color w:val="716E67"/>
          <w:sz w:val="17"/>
        </w:rPr>
      </w:r>
    </w:p>
    <w:p>
      <w:pPr>
        <w:spacing w:after="200" w:before="160"/>
        <w:pBdr>
          <w:bottom w:val="single" w:sz="4" w:space="1" w:color="D5D2CA"/>
        </w:pBdr>
      </w:pPr>
    </w:p>
    <w:p>
      <w:pPr>
        <w:spacing w:after="40"/>
      </w:pPr>
      <w:r>
        <w:rPr>
          <w:color w:val="716E67"/>
          <w:sz w:val="17"/>
        </w:rPr>
      </w:r>
    </w:p>
    <w:p>
      <w:pPr>
        <w:spacing w:after="200" w:before="160"/>
        <w:pBdr>
          <w:bottom w:val="single" w:sz="4" w:space="1" w:color="D5D2CA"/>
        </w:pBdr>
      </w:pPr>
    </w:p>
    <w:p>
      <w:pPr>
        <w:spacing w:after="40"/>
      </w:pPr>
      <w:r>
        <w:rPr>
          <w:color w:val="716E67"/>
          <w:sz w:val="17"/>
        </w:rPr>
      </w:r>
    </w:p>
    <w:p>
      <w:pPr>
        <w:spacing w:after="200" w:before="160"/>
        <w:pBdr>
          <w:bottom w:val="single" w:sz="4" w:space="1" w:color="D5D2CA"/>
        </w:pBdr>
      </w:pPr>
    </w:p>
    <w:p>
      <w:pPr>
        <w:spacing w:after="40"/>
      </w:pPr>
      <w:r>
        <w:rPr>
          <w:color w:val="716E67"/>
          <w:sz w:val="17"/>
        </w:rPr>
      </w:r>
    </w:p>
    <w:p>
      <w:pPr>
        <w:spacing w:after="200" w:before="160"/>
        <w:pBdr>
          <w:bottom w:val="single" w:sz="4" w:space="1" w:color="D5D2CA"/>
        </w:pBdr>
      </w:pPr>
    </w:p>
    <w:p>
      <w:pPr>
        <w:spacing w:before="320"/>
      </w:pPr>
      <w:r>
        <w:rPr>
          <w:color w:val="716E67"/>
          <w:sz w:val="15"/>
        </w:rPr>
        <w:t>Document préparé par Tiny House Suisse — reproduction libre pour usage personnel.</w:t>
      </w:r>
    </w:p>
    <w:sectPr w:rsidR="00FC693F" w:rsidRPr="0006063C" w:rsidSect="00034616">
      <w:headerReference w:type="default" r:id="rId9"/>
      <w:footerReference w:type="default" r:id="rId10"/>
      <w:pgSz w:w="11906" w:h="16838"/>
      <w:pgMar w:top="1134"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716E67"/>
        <w:sz w:val="14"/>
      </w:rPr>
      <w:t>THS-13E · Interface avec le terrain · Tiny House Suisse — Guide d’autoconstruction  ·  www.tinyhousesuisse.ch</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b/>
        <w:color w:val="1A3C2A"/>
        <w:sz w:val="16"/>
      </w:rPr>
      <w:t xml:space="preserve">THS-13E    </w:t>
    </w:r>
    <w:r>
      <w:rPr>
        <w:color w:val="716E67"/>
        <w:sz w:val="16"/>
      </w:rPr>
      <w:t>Chapitre 13 — La plomberie</w:t>
    </w:r>
    <w:r>
      <w:tab/>
      <w:tab/>
    </w:r>
    <w:r>
      <w:drawing>
        <wp:inline xmlns:a="http://schemas.openxmlformats.org/drawingml/2006/main" xmlns:pic="http://schemas.openxmlformats.org/drawingml/2006/picture">
          <wp:extent cx="396000" cy="396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96000" cy="396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61A15"/>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