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Plan des renforts</w:t>
      </w:r>
    </w:p>
    <w:p>
      <w:r>
        <w:rPr>
          <w:color w:val="716E67"/>
          <w:sz w:val="20"/>
        </w:rPr>
        <w:t>Le meuble lourd arrive trois mois après le parement</w:t>
      </w:r>
    </w:p>
    <w:p>
      <w:r>
        <w:t>Listez d’abord tout ce qui sera fixé aux murs, ensuite seulement posez les renforts. L’inverse ne marche pas : un parement creux ne se renforce plus.</w:t>
      </w:r>
    </w:p>
    <w:p>
      <w:pPr>
        <w:spacing w:before="280" w:after="120"/>
      </w:pPr>
      <w:r>
        <w:rPr>
          <w:b/>
          <w:color w:val="1A3C2A"/>
          <w:sz w:val="23"/>
        </w:rPr>
        <w:t>Registre des charges suspendues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Équipement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Mur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Hauteur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Longueur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Posé et photographié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Meubles hauts de cuisine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Télévision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Étagères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Lavabo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Chauffe-eau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Table rabattable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Escalier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Rangement suspendu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Tringles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Exemple de ligne complète : meubles de cuisine · M02 · 1 450 mm du sol · 2 100 mm de long.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Élévation des murs, renforts en place</w:t>
      </w:r>
    </w:p>
    <w:p>
      <w:r>
        <w:rPr>
          <w:i/>
          <w:color w:val="716E67"/>
          <w:sz w:val="16"/>
        </w:rPr>
        <w:t>Numérotez les murs M01, M02… et reportez les mêmes numéros sur l’ossature au marqueur. Un carreau vaut 10 cm.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Ce que chaque photo doit montrer</w:t>
      </w:r>
    </w:p>
    <w:p>
      <w:pPr>
        <w:spacing w:after="120"/>
      </w:pPr>
      <w:r>
        <w:rPr>
          <w:sz w:val="24"/>
        </w:rPr>
        <w:t xml:space="preserve">☐  </w:t>
      </w:r>
      <w:r>
        <w:t>Le renfort sur toute sa longueur, coté depuis le sol.</w:t>
      </w:r>
    </w:p>
    <w:p>
      <w:pPr>
        <w:spacing w:after="120"/>
      </w:pPr>
      <w:r>
        <w:rPr>
          <w:sz w:val="24"/>
        </w:rPr>
        <w:t xml:space="preserve">☐  </w:t>
      </w:r>
      <w:r>
        <w:t>Le numéro du mur, écrit sur l’ossature.</w:t>
      </w:r>
    </w:p>
    <w:p>
      <w:pPr>
        <w:spacing w:after="120"/>
      </w:pPr>
      <w:r>
        <w:rPr>
          <w:sz w:val="24"/>
        </w:rPr>
        <w:t xml:space="preserve">☐  </w:t>
      </w:r>
      <w:r>
        <w:t>Un mètre déroulé dans le cadre.</w:t>
      </w:r>
    </w:p>
    <w:p>
      <w:pPr>
        <w:spacing w:after="120"/>
      </w:pPr>
      <w:r>
        <w:rPr>
          <w:sz w:val="24"/>
        </w:rPr>
        <w:t xml:space="preserve">☐  </w:t>
      </w:r>
      <w:r>
        <w:t>Les gaines et conduites voisines, pour ne pas percer dedans.</w:t>
      </w:r>
    </w:p>
    <w:p>
      <w:pPr>
        <w:spacing w:after="120"/>
      </w:pPr>
      <w:r>
        <w:rPr>
          <w:sz w:val="24"/>
        </w:rPr>
        <w:t xml:space="preserve">☐  </w:t>
      </w:r>
      <w:r>
        <w:t>Les montants, pour savoir où visser plus tard.</w:t>
      </w:r>
    </w:p>
    <w:p>
      <w:pPr>
        <w:spacing w:after="40"/>
      </w:pPr>
      <w:r>
        <w:rPr>
          <w:color w:val="716E67"/>
          <w:sz w:val="17"/>
        </w:rPr>
        <w:t>Dossier où sont rangées les photos de renforts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Ces photos rejoignent le dossier technique du chapitre 15, fiche THS-15F. C’est le même dossier que celui des réseaux.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THS-14B · Plan des renforts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THS-14B    </w:t>
    </w:r>
    <w:r>
      <w:rPr>
        <w:color w:val="716E67"/>
        <w:sz w:val="16"/>
      </w:rPr>
      <w:t>Chapitre 14 — Le second œuvre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