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Fiche salle d’eau</w:t>
      </w:r>
    </w:p>
    <w:p>
      <w:r>
        <w:rPr>
          <w:color w:val="716E67"/>
          <w:sz w:val="20"/>
        </w:rPr>
        <w:t>Le carrelage n’est pas votre étanchéité</w:t>
      </w:r>
    </w:p>
    <w:p>
      <w:r>
        <w:t>Trois mètres carrés qui contiennent l’eau, l’humidité, l’électricité, la ventilation et des matériaux sensibles. Cette fiche se remplit avant le revêtement, pas après.</w:t>
      </w:r>
    </w:p>
    <w:p>
      <w:pPr>
        <w:spacing w:before="280" w:after="120"/>
      </w:pPr>
      <w:r>
        <w:rPr>
          <w:b/>
          <w:color w:val="1A3C2A"/>
          <w:sz w:val="23"/>
        </w:rPr>
        <w:t>Le choix, et son poids</w:t>
      </w:r>
    </w:p>
    <w:p>
      <w:r>
        <w:rPr>
          <w:i/>
          <w:color w:val="716E67"/>
          <w:sz w:val="16"/>
        </w:rPr>
        <w:t>Un système de carrelage complet pèse environ 39,6 kg/m2 : grès 9 mm 21,6 + colle 6,0 + support rigide 12,0. Sur 3 m2, c’est 119 kg contre 24 kg pour un vinyle.</w:t>
      </w:r>
    </w:p>
    <w:p>
      <w:pPr>
        <w:spacing w:after="120"/>
      </w:pPr>
      <w:r>
        <w:rPr>
          <w:sz w:val="24"/>
        </w:rPr>
        <w:t xml:space="preserve">☐  </w:t>
      </w:r>
      <w:r>
        <w:t>Receveur : pente, collecte et raccord de bonde simplifiés.</w:t>
      </w:r>
    </w:p>
    <w:p>
      <w:pPr>
        <w:spacing w:after="120"/>
      </w:pPr>
      <w:r>
        <w:rPr>
          <w:sz w:val="24"/>
        </w:rPr>
        <w:t xml:space="preserve">☐  </w:t>
      </w:r>
      <w:r>
        <w:t>Douche entièrement carrelée : plus de liberté, plus de risque.</w:t>
      </w:r>
    </w:p>
    <w:p>
      <w:pPr>
        <w:spacing w:after="120"/>
      </w:pPr>
      <w:r>
        <w:rPr>
          <w:sz w:val="24"/>
        </w:rPr>
        <w:t xml:space="preserve">☐  </w:t>
      </w:r>
      <w:r>
        <w:t>Le poids retenu est reporté dans le budget THS-14E.</w:t>
      </w:r>
    </w:p>
    <w:p>
      <w:pPr>
        <w:spacing w:before="280" w:after="120"/>
      </w:pPr>
      <w:r>
        <w:rPr>
          <w:b/>
          <w:color w:val="1A3C2A"/>
          <w:sz w:val="23"/>
        </w:rPr>
        <w:t>Le support, avant tout</w:t>
      </w:r>
    </w:p>
    <w:p>
      <w:pPr>
        <w:spacing w:after="120"/>
      </w:pPr>
      <w:r>
        <w:rPr>
          <w:sz w:val="24"/>
        </w:rPr>
        <w:t xml:space="preserve">☐  </w:t>
      </w:r>
      <w:r>
        <w:t>Planeité contrôlée à la règle.</w:t>
      </w:r>
    </w:p>
    <w:p>
      <w:pPr>
        <w:spacing w:after="120"/>
      </w:pPr>
      <w:r>
        <w:rPr>
          <w:sz w:val="24"/>
        </w:rPr>
        <w:t xml:space="preserve">☐  </w:t>
      </w:r>
      <w:r>
        <w:t>Rigidité suffisante pour le revêtement choisi.</w:t>
      </w:r>
    </w:p>
    <w:p>
      <w:pPr>
        <w:spacing w:after="120"/>
      </w:pPr>
      <w:r>
        <w:rPr>
          <w:sz w:val="24"/>
        </w:rPr>
        <w:t xml:space="preserve">☐  </w:t>
      </w:r>
      <w:r>
        <w:t>Humidité du support vérifiée.</w:t>
      </w:r>
    </w:p>
    <w:p>
      <w:pPr>
        <w:spacing w:after="120"/>
      </w:pPr>
      <w:r>
        <w:rPr>
          <w:sz w:val="24"/>
        </w:rPr>
        <w:t xml:space="preserve">☐  </w:t>
      </w:r>
      <w:r>
        <w:t>Pente réalisée dans le support, pas dans la colle.</w:t>
      </w:r>
    </w:p>
    <w:p>
      <w:pPr>
        <w:spacing w:after="120"/>
      </w:pPr>
      <w:r>
        <w:rPr>
          <w:sz w:val="24"/>
        </w:rPr>
        <w:t xml:space="preserve">☐  </w:t>
      </w:r>
      <w:r>
        <w:t>Pente contrôlée au niveau, et compatible avec le format des dalles.</w:t>
      </w:r>
    </w:p>
    <w:p>
      <w:pPr>
        <w:spacing w:before="280" w:after="120"/>
      </w:pPr>
      <w:r>
        <w:rPr>
          <w:b/>
          <w:color w:val="1A3C2A"/>
          <w:sz w:val="23"/>
        </w:rPr>
        <w:t>L’étanchéité</w:t>
      </w:r>
    </w:p>
    <w:p>
      <w:pPr>
        <w:spacing w:after="40"/>
      </w:pPr>
      <w:r>
        <w:rPr>
          <w:color w:val="716E67"/>
          <w:sz w:val="17"/>
        </w:rPr>
        <w:t>Système d’étanchéité retenu, et fournisseur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Zones traitées, et hauteur sur les parois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Prescription du système obtenue : oui / non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120"/>
      </w:pPr>
      <w:r>
        <w:rPr>
          <w:sz w:val="24"/>
        </w:rPr>
        <w:t xml:space="preserve">☐  </w:t>
      </w:r>
      <w:r>
        <w:t>Angles traités avec le détail prévu par le système.</w:t>
      </w:r>
    </w:p>
    <w:p>
      <w:pPr>
        <w:spacing w:after="120"/>
      </w:pPr>
      <w:r>
        <w:rPr>
          <w:sz w:val="24"/>
        </w:rPr>
        <w:t xml:space="preserve">☐  </w:t>
      </w:r>
      <w:r>
        <w:t>Jonctions sol-mur traitées.</w:t>
      </w:r>
    </w:p>
    <w:p>
      <w:pPr>
        <w:spacing w:after="120"/>
      </w:pPr>
      <w:r>
        <w:rPr>
          <w:sz w:val="24"/>
        </w:rPr>
        <w:t xml:space="preserve">☐  </w:t>
      </w:r>
      <w:r>
        <w:t>Raccord avec le receveur traité.</w:t>
      </w:r>
    </w:p>
    <w:p>
      <w:pPr>
        <w:spacing w:after="120"/>
      </w:pPr>
      <w:r>
        <w:rPr>
          <w:sz w:val="24"/>
        </w:rPr>
        <w:t xml:space="preserve">☐  </w:t>
      </w:r>
      <w:r>
        <w:t>Raccord avec la bonde traité.</w:t>
      </w:r>
    </w:p>
    <w:p>
      <w:pPr>
        <w:spacing w:after="120"/>
      </w:pPr>
      <w:r>
        <w:rPr>
          <w:sz w:val="24"/>
        </w:rPr>
        <w:t xml:space="preserve">☐  </w:t>
      </w:r>
      <w:r>
        <w:t>Aucune zone laissée « à finir plus tard ».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Les traversées, une par ligne</w:t>
      </w:r>
    </w:p>
    <w:p>
      <w:r>
        <w:rPr>
          <w:i/>
          <w:color w:val="716E67"/>
          <w:sz w:val="16"/>
        </w:rPr>
        <w:t>Chacune reçoit le détail du système, jamais un cordon de silicone posé après le carrelage.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Traversée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Détail utilisé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Traitée le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Photographiée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Mitigeur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Alimentation de douche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Sortie de douchette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Évacuation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Équipement mural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Le test du silicone enlevé</w:t>
      </w:r>
    </w:p>
    <w:p>
      <w:pPr>
        <w:spacing w:after="40"/>
      </w:pPr>
      <w:r>
        <w:rPr>
          <w:color w:val="716E67"/>
          <w:sz w:val="17"/>
        </w:rPr>
        <w:t>— Si l’on enlève tout le silicone, l’eau atteint-elle le bois ?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Si la réponse est oui, le détail est à revoir. Le silicone est un raccord de finition, il vieillit et sera remplacé.</w:t>
      </w:r>
    </w:p>
    <w:p>
      <w:pPr>
        <w:spacing w:before="280" w:after="120"/>
      </w:pPr>
      <w:r>
        <w:rPr>
          <w:b/>
          <w:color w:val="1A3C2A"/>
          <w:sz w:val="23"/>
        </w:rPr>
        <w:t>Accès et ventilation</w:t>
      </w:r>
    </w:p>
    <w:p>
      <w:pPr>
        <w:spacing w:after="120"/>
      </w:pPr>
      <w:r>
        <w:rPr>
          <w:sz w:val="24"/>
        </w:rPr>
        <w:t xml:space="preserve">☐  </w:t>
      </w:r>
      <w:r>
        <w:t>Accès au siphon : possible sans démolition.</w:t>
      </w:r>
    </w:p>
    <w:p>
      <w:pPr>
        <w:spacing w:after="120"/>
      </w:pPr>
      <w:r>
        <w:rPr>
          <w:sz w:val="24"/>
        </w:rPr>
        <w:t xml:space="preserve">☐  </w:t>
      </w:r>
      <w:r>
        <w:t>Accès à la bonde : possible.</w:t>
      </w:r>
    </w:p>
    <w:p>
      <w:pPr>
        <w:spacing w:after="120"/>
      </w:pPr>
      <w:r>
        <w:rPr>
          <w:sz w:val="24"/>
        </w:rPr>
        <w:t xml:space="preserve">☐  </w:t>
      </w:r>
      <w:r>
        <w:t>Accès aux raccords : possible.</w:t>
      </w:r>
    </w:p>
    <w:p>
      <w:pPr>
        <w:spacing w:after="120"/>
      </w:pPr>
      <w:r>
        <w:rPr>
          <w:sz w:val="24"/>
        </w:rPr>
        <w:t xml:space="preserve">☐  </w:t>
      </w:r>
      <w:r>
        <w:t>Extraction prévue, avec son chemin d’air.</w:t>
      </w:r>
    </w:p>
    <w:p>
      <w:pPr>
        <w:spacing w:after="120"/>
      </w:pPr>
      <w:r>
        <w:rPr>
          <w:sz w:val="24"/>
        </w:rPr>
        <w:t xml:space="preserve">☐  </w:t>
      </w:r>
      <w:r>
        <w:t>Commande adaptée, avec temporisation après la douche.</w:t>
      </w:r>
    </w:p>
    <w:p>
      <w:pPr>
        <w:spacing w:after="120"/>
      </w:pPr>
      <w:r>
        <w:rPr>
          <w:sz w:val="24"/>
        </w:rPr>
        <w:t xml:space="preserve">☐  </w:t>
      </w:r>
      <w:r>
        <w:t>Accès de nettoyage de la bouche prévu.</w:t>
      </w:r>
    </w:p>
    <w:p>
      <w:r>
        <w:rPr>
          <w:b/>
          <w:color w:val="1A3C2A"/>
        </w:rPr>
        <w:t>Une douche met environ 252 g d’eau dans l’air de 26 m3 en passant de 40 à 90 % d’humidité. Il faut renouveler près de 19 m3 d’air pour revenir à 40 % : l’extraction doit tourner après la douche, pas seulement pendant.</w:t>
      </w: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THS-14C · Fiche salle d’eau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THS-14C    </w:t>
    </w:r>
    <w:r>
      <w:rPr>
        <w:color w:val="716E67"/>
        <w:sz w:val="16"/>
      </w:rPr>
      <w:t>Chapitre 14 — Le second œuvre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