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Fiche cuisine</w:t>
      </w:r>
    </w:p>
    <w:p>
      <w:r>
        <w:rPr>
          <w:color w:val="716E67"/>
          <w:sz w:val="20"/>
        </w:rPr>
        <w:t>Les appareils d’abord, les caissons ensuite</w:t>
      </w:r>
    </w:p>
    <w:p>
      <w:r>
        <w:t>Ne dessinez pas des caissons de 600 mm en espérant que les appareils suivront. Présélectionnez-les, relevez leurs dimensions d’encastrement, leur poids et leur puissance — celle-ci alimente le bilan du chapitre 12.</w:t>
      </w:r>
    </w:p>
    <w:p>
      <w:pPr>
        <w:spacing w:before="280" w:after="120"/>
      </w:pPr>
      <w:r>
        <w:rPr>
          <w:b/>
          <w:color w:val="1A3C2A"/>
          <w:sz w:val="23"/>
        </w:rPr>
        <w:t>Les appareils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Appareil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Largeur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Hauteur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Profondeur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Poids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Puissance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Réfrigérateur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Plaque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Four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Lave-vaisselle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Hotte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Évier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Reportez les puissances dans la fiche THS-12B, et les poids dans le budget THS-14E.</w:t>
      </w:r>
    </w:p>
    <w:p>
      <w:pPr>
        <w:spacing w:before="280" w:after="120"/>
      </w:pPr>
      <w:r>
        <w:rPr>
          <w:b/>
          <w:color w:val="1A3C2A"/>
          <w:sz w:val="23"/>
        </w:rPr>
        <w:t>Ventilation des appareils</w:t>
      </w:r>
    </w:p>
    <w:p>
      <w:pPr>
        <w:spacing w:after="120"/>
      </w:pPr>
      <w:r>
        <w:rPr>
          <w:sz w:val="24"/>
        </w:rPr>
        <w:t xml:space="preserve">☐  </w:t>
      </w:r>
      <w:r>
        <w:t>Réfrigérateur : espaces de ventilation du fabricant respectés.</w:t>
      </w:r>
    </w:p>
    <w:p>
      <w:pPr>
        <w:spacing w:after="120"/>
      </w:pPr>
      <w:r>
        <w:rPr>
          <w:sz w:val="24"/>
        </w:rPr>
        <w:t xml:space="preserve">☐  </w:t>
      </w:r>
      <w:r>
        <w:t>Four : ventilation et dégagements respectés.</w:t>
      </w:r>
    </w:p>
    <w:p>
      <w:pPr>
        <w:spacing w:after="120"/>
      </w:pPr>
      <w:r>
        <w:rPr>
          <w:sz w:val="24"/>
        </w:rPr>
        <w:t xml:space="preserve">☐  </w:t>
      </w:r>
      <w:r>
        <w:t>Chauffe-eau : prescriptions respectées.</w:t>
      </w:r>
    </w:p>
    <w:p>
      <w:pPr>
        <w:spacing w:after="120"/>
      </w:pPr>
      <w:r>
        <w:rPr>
          <w:sz w:val="24"/>
        </w:rPr>
        <w:t xml:space="preserve">☐  </w:t>
      </w:r>
      <w:r>
        <w:t>Aucun appareil enfermé dans un caisson étanche.</w:t>
      </w:r>
    </w:p>
    <w:p>
      <w:pPr>
        <w:spacing w:before="280" w:after="120"/>
      </w:pPr>
      <w:r>
        <w:rPr>
          <w:b/>
          <w:color w:val="1A3C2A"/>
          <w:sz w:val="23"/>
        </w:rPr>
        <w:t>Hotte</w:t>
      </w:r>
    </w:p>
    <w:p>
      <w:pPr>
        <w:spacing w:after="120"/>
      </w:pPr>
      <w:r>
        <w:rPr>
          <w:sz w:val="24"/>
        </w:rPr>
        <w:t xml:space="preserve">☐  </w:t>
      </w:r>
      <w:r>
        <w:t>Recyclage : pas de traversée de l’enveloppe, humidité à évacuer par la ventilation générale.</w:t>
      </w:r>
    </w:p>
    <w:p>
      <w:pPr>
        <w:spacing w:after="120"/>
      </w:pPr>
      <w:r>
        <w:rPr>
          <w:sz w:val="24"/>
        </w:rPr>
        <w:t xml:space="preserve">☐  </w:t>
      </w:r>
      <w:r>
        <w:t>Extraction extérieure : traversée à traiter, et air de remplacement à prévoir.</w:t>
      </w:r>
    </w:p>
    <w:p>
      <w:pPr>
        <w:spacing w:after="120"/>
      </w:pPr>
      <w:r>
        <w:rPr>
          <w:sz w:val="24"/>
        </w:rPr>
        <w:t xml:space="preserve">☐  </w:t>
      </w:r>
      <w:r>
        <w:t>Le choix a été coordonné avec la ventilation générale.</w:t>
      </w:r>
    </w:p>
    <w:p>
      <w:r>
        <w:rPr>
          <w:b/>
          <w:color w:val="1A3C2A"/>
        </w:rPr>
        <w:t>Ne percez pas la façade pour une hotte en fin de chantier : la traversée concerne le pare-pluie, la lame d’air et la couche étanche des chapitres 7 et 11.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Sous l’évier : ce qui doit tenir</w:t>
      </w:r>
    </w:p>
    <w:p>
      <w:pPr>
        <w:spacing w:after="120"/>
      </w:pPr>
      <w:r>
        <w:rPr>
          <w:sz w:val="24"/>
        </w:rPr>
        <w:t xml:space="preserve">☐  </w:t>
      </w:r>
      <w:r>
        <w:t>Bonde, siphon et évacuation dessinés à l’échelle.</w:t>
      </w:r>
    </w:p>
    <w:p>
      <w:pPr>
        <w:spacing w:after="120"/>
      </w:pPr>
      <w:r>
        <w:rPr>
          <w:sz w:val="24"/>
        </w:rPr>
        <w:t xml:space="preserve">☐  </w:t>
      </w:r>
      <w:r>
        <w:t>Arrivées d’eau froide et chaude dessinées.</w:t>
      </w:r>
    </w:p>
    <w:p>
      <w:pPr>
        <w:spacing w:after="120"/>
      </w:pPr>
      <w:r>
        <w:rPr>
          <w:sz w:val="24"/>
        </w:rPr>
        <w:t xml:space="preserve">☐  </w:t>
      </w:r>
      <w:r>
        <w:t>Vannes accessibles sans démonter le fond du meuble.</w:t>
      </w:r>
    </w:p>
    <w:p>
      <w:pPr>
        <w:spacing w:after="120"/>
      </w:pPr>
      <w:r>
        <w:rPr>
          <w:sz w:val="24"/>
        </w:rPr>
        <w:t xml:space="preserve">☐  </w:t>
      </w:r>
      <w:r>
        <w:t>Raccord du lave-vaisselle prévu, si applicable.</w:t>
      </w:r>
    </w:p>
    <w:p>
      <w:pPr>
        <w:spacing w:after="120"/>
      </w:pPr>
      <w:r>
        <w:rPr>
          <w:sz w:val="24"/>
        </w:rPr>
        <w:t xml:space="preserve">☐  </w:t>
      </w:r>
      <w:r>
        <w:t>Volume de rangement restant vérifié, pas supposé.</w:t>
      </w:r>
    </w:p>
    <w:p>
      <w:pPr>
        <w:spacing w:before="280" w:after="120"/>
      </w:pPr>
      <w:r>
        <w:rPr>
          <w:b/>
          <w:color w:val="1A3C2A"/>
          <w:sz w:val="23"/>
        </w:rPr>
        <w:t>Plan de travail</w:t>
      </w:r>
    </w:p>
    <w:p>
      <w:r>
        <w:rPr>
          <w:i/>
          <w:color w:val="716E67"/>
          <w:sz w:val="16"/>
        </w:rPr>
        <w:t>Sur 2,00 × 0,60 m : stratifié 38 mm environ 30 kg, chêne massif 40 mm 34 kg, pierre ou quartz 20 mm 60 kg.</w:t>
      </w:r>
    </w:p>
    <w:p>
      <w:pPr>
        <w:spacing w:after="40"/>
      </w:pPr>
      <w:r>
        <w:rPr>
          <w:color w:val="716E67"/>
          <w:sz w:val="17"/>
        </w:rPr>
        <w:t>Matériau retenu, et poids calculé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Fixation mécanique prévue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Découpes : évier, plaque, passages techniques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Fixation et transport</w:t>
      </w:r>
    </w:p>
    <w:p>
      <w:pPr>
        <w:spacing w:after="120"/>
      </w:pPr>
      <w:r>
        <w:rPr>
          <w:sz w:val="24"/>
        </w:rPr>
        <w:t xml:space="preserve">☐  </w:t>
      </w:r>
      <w:r>
        <w:t>Meubles bas fixés mécaniquement à l’ossature.</w:t>
      </w:r>
    </w:p>
    <w:p>
      <w:pPr>
        <w:spacing w:after="120"/>
      </w:pPr>
      <w:r>
        <w:rPr>
          <w:sz w:val="24"/>
        </w:rPr>
        <w:t xml:space="preserve">☐  </w:t>
      </w:r>
      <w:r>
        <w:t>Meubles hauts fixés sur les renforts du registre THS-14B.</w:t>
      </w:r>
    </w:p>
    <w:p>
      <w:pPr>
        <w:spacing w:after="120"/>
      </w:pPr>
      <w:r>
        <w:rPr>
          <w:sz w:val="24"/>
        </w:rPr>
        <w:t xml:space="preserve">☐  </w:t>
      </w:r>
      <w:r>
        <w:t>Plan de travail fixé, pas seulement posé.</w:t>
      </w:r>
    </w:p>
    <w:p>
      <w:pPr>
        <w:spacing w:after="120"/>
      </w:pPr>
      <w:r>
        <w:rPr>
          <w:sz w:val="24"/>
        </w:rPr>
        <w:t xml:space="preserve">☐  </w:t>
      </w:r>
      <w:r>
        <w:t>Tiroirs et portes équipés d’un blocage pour le transport.</w:t>
      </w:r>
    </w:p>
    <w:p>
      <w:pPr>
        <w:spacing w:after="120"/>
      </w:pPr>
      <w:r>
        <w:rPr>
          <w:sz w:val="24"/>
        </w:rPr>
        <w:t xml:space="preserve">☐  </w:t>
      </w:r>
      <w:r>
        <w:t>Réfrigérateur bloqué.</w:t>
      </w:r>
    </w:p>
    <w:p>
      <w:pPr>
        <w:spacing w:after="120"/>
      </w:pPr>
      <w:r>
        <w:rPr>
          <w:sz w:val="24"/>
        </w:rPr>
        <w:t xml:space="preserve">☐  </w:t>
      </w:r>
      <w:r>
        <w:t>Éléments lourds placés le plus bas possible.</w:t>
      </w:r>
    </w:p>
    <w:p>
      <w:r>
        <w:rPr>
          <w:b/>
          <w:color w:val="1A3C2A"/>
        </w:rPr>
        <w:t>Un tiroir plein de casseroles qui s’ouvre dans un rond-point est une charge en mouvement, et personne n’est dans la maison pour le refermer.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THS-14D · Fiche cuisine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THS-14D    </w:t>
    </w:r>
    <w:r>
      <w:rPr>
        <w:color w:val="716E67"/>
        <w:sz w:val="16"/>
      </w:rPr>
      <w:t>Chapitre 14 — Le second œuvre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