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Kontrolle vor der Abnahme</w:t>
      </w:r>
    </w:p>
    <w:p>
      <w:r>
        <w:rPr>
          <w:color w:val="716E67"/>
          <w:sz w:val="20"/>
        </w:rPr>
        <w:t>Kapitel 15 misst, was fertig ist, nicht was vorgesehen ist</w:t>
      </w:r>
    </w:p>
    <w:p>
      <w:r>
        <w:t>Dieses Blatt wird ausgefüllt, bevor Kapitel 15 beginnt. Solange eine Zeile « später fertig » bleibt, ergibt die Abnahme keinen Sinn.</w:t>
      </w:r>
    </w:p>
    <w:p>
      <w:pPr>
        <w:spacing w:before="280" w:after="120"/>
      </w:pPr>
      <w:r>
        <w:rPr>
          <w:b/>
          <w:color w:val="1A3C2A"/>
          <w:sz w:val="23"/>
        </w:rPr>
        <w:t>Allgemein</w:t>
      </w:r>
    </w:p>
    <w:p>
      <w:pPr>
        <w:spacing w:after="120"/>
      </w:pPr>
      <w:r>
        <w:rPr>
          <w:sz w:val="24"/>
        </w:rPr>
        <w:t xml:space="preserve">☐  </w:t>
      </w:r>
      <w:r>
        <w:t>Alle Leitungen wurden vor dem Schliessen freigegeben.</w:t>
      </w:r>
    </w:p>
    <w:p>
      <w:pPr>
        <w:spacing w:after="120"/>
      </w:pPr>
      <w:r>
        <w:rPr>
          <w:sz w:val="24"/>
        </w:rPr>
        <w:t xml:space="preserve">☐  </w:t>
      </w:r>
      <w:r>
        <w:t>Fotos der Leitungen archiviert, mit sichtbarem Massband.</w:t>
      </w:r>
    </w:p>
    <w:p>
      <w:pPr>
        <w:spacing w:after="120"/>
      </w:pPr>
      <w:r>
        <w:rPr>
          <w:sz w:val="24"/>
        </w:rPr>
        <w:t xml:space="preserve">☐  </w:t>
      </w:r>
      <w:r>
        <w:t>Verstärkungen erfasst und fotografiert, Blatt THS-14B.</w:t>
      </w:r>
    </w:p>
    <w:p>
      <w:pPr>
        <w:spacing w:before="280" w:after="120"/>
      </w:pPr>
      <w:r>
        <w:rPr>
          <w:b/>
          <w:color w:val="1A3C2A"/>
          <w:sz w:val="23"/>
        </w:rPr>
        <w:t>Bekleidungen und Innenwände</w:t>
      </w:r>
    </w:p>
    <w:p>
      <w:pPr>
        <w:spacing w:after="120"/>
      </w:pPr>
      <w:r>
        <w:rPr>
          <w:sz w:val="24"/>
        </w:rPr>
        <w:t xml:space="preserve">☐  </w:t>
      </w:r>
      <w:r>
        <w:t>Befestigungen fertig.</w:t>
      </w:r>
    </w:p>
    <w:p>
      <w:pPr>
        <w:spacing w:after="120"/>
      </w:pPr>
      <w:r>
        <w:rPr>
          <w:sz w:val="24"/>
        </w:rPr>
        <w:t xml:space="preserve">☐  </w:t>
      </w:r>
      <w:r>
        <w:t>Rand- und Akklimatisationsfugen eingehalten.</w:t>
      </w:r>
    </w:p>
    <w:p>
      <w:pPr>
        <w:spacing w:after="120"/>
      </w:pPr>
      <w:r>
        <w:rPr>
          <w:sz w:val="24"/>
        </w:rPr>
        <w:t xml:space="preserve">☐  </w:t>
      </w:r>
      <w:r>
        <w:t>Türen funktionsfähig, ohne Schleifen.</w:t>
      </w:r>
    </w:p>
    <w:p>
      <w:pPr>
        <w:spacing w:after="120"/>
      </w:pPr>
      <w:r>
        <w:rPr>
          <w:sz w:val="24"/>
        </w:rPr>
        <w:t xml:space="preserve">☐  </w:t>
      </w:r>
      <w:r>
        <w:t>Technische Zonen zugänglich geblieben.</w:t>
      </w:r>
    </w:p>
    <w:p>
      <w:pPr>
        <w:spacing w:before="280" w:after="120"/>
      </w:pPr>
      <w:r>
        <w:rPr>
          <w:b/>
          <w:color w:val="1A3C2A"/>
          <w:sz w:val="23"/>
        </w:rPr>
        <w:t>Boden</w:t>
      </w:r>
    </w:p>
    <w:p>
      <w:pPr>
        <w:spacing w:after="120"/>
      </w:pPr>
      <w:r>
        <w:rPr>
          <w:sz w:val="24"/>
        </w:rPr>
        <w:t xml:space="preserve">☐  </w:t>
      </w:r>
      <w:r>
        <w:t>Untergrund geprüft: Ebenheit, Steifigkeit, Feuchte.</w:t>
      </w:r>
    </w:p>
    <w:p>
      <w:pPr>
        <w:spacing w:after="120"/>
      </w:pPr>
      <w:r>
        <w:rPr>
          <w:sz w:val="24"/>
        </w:rPr>
        <w:t xml:space="preserve">☐  </w:t>
      </w:r>
      <w:r>
        <w:t>Belag mit Untergrund und Nutzung verträglich.</w:t>
      </w:r>
    </w:p>
    <w:p>
      <w:pPr>
        <w:spacing w:after="120"/>
      </w:pPr>
      <w:r>
        <w:rPr>
          <w:sz w:val="24"/>
        </w:rPr>
        <w:t xml:space="preserve">☐  </w:t>
      </w:r>
      <w:r>
        <w:t>Randfugen eingehalten.</w:t>
      </w:r>
    </w:p>
    <w:p>
      <w:pPr>
        <w:spacing w:after="120"/>
      </w:pPr>
      <w:r>
        <w:rPr>
          <w:sz w:val="24"/>
        </w:rPr>
        <w:t xml:space="preserve">☐  </w:t>
      </w:r>
      <w:r>
        <w:t>Boden nicht unter festen Möbeln festgesetzt, wo der Hersteller es verbietet.</w:t>
      </w:r>
    </w:p>
    <w:p>
      <w:pPr>
        <w:spacing w:after="120"/>
      </w:pPr>
      <w:r>
        <w:rPr>
          <w:sz w:val="24"/>
        </w:rPr>
        <w:t xml:space="preserve">☐  </w:t>
      </w:r>
      <w:r>
        <w:t>Schwellen fertig.</w:t>
      </w:r>
    </w:p>
    <w:p>
      <w:pPr>
        <w:spacing w:before="280" w:after="120"/>
      </w:pPr>
      <w:r>
        <w:rPr>
          <w:b/>
          <w:color w:val="1A3C2A"/>
          <w:sz w:val="23"/>
        </w:rPr>
        <w:t>Bad</w:t>
      </w:r>
    </w:p>
    <w:p>
      <w:pPr>
        <w:spacing w:after="120"/>
      </w:pPr>
      <w:r>
        <w:rPr>
          <w:sz w:val="24"/>
        </w:rPr>
        <w:t xml:space="preserve">☐  </w:t>
      </w:r>
      <w:r>
        <w:t>Abdichtungssystem fertig, Blatt THS-14C ausgefüllt.</w:t>
      </w:r>
    </w:p>
    <w:p>
      <w:pPr>
        <w:spacing w:after="120"/>
      </w:pPr>
      <w:r>
        <w:rPr>
          <w:sz w:val="24"/>
        </w:rPr>
        <w:t xml:space="preserve">☐  </w:t>
      </w:r>
      <w:r>
        <w:t>Ecken mit dem Systemdetail behandelt.</w:t>
      </w:r>
    </w:p>
    <w:p>
      <w:pPr>
        <w:spacing w:after="120"/>
      </w:pPr>
      <w:r>
        <w:rPr>
          <w:sz w:val="24"/>
        </w:rPr>
        <w:t xml:space="preserve">☐  </w:t>
      </w:r>
      <w:r>
        <w:t>Durchführungen abgedichtet, eine nach der anderen.</w:t>
      </w:r>
    </w:p>
    <w:p>
      <w:pPr>
        <w:spacing w:after="120"/>
      </w:pPr>
      <w:r>
        <w:rPr>
          <w:sz w:val="24"/>
        </w:rPr>
        <w:t xml:space="preserve">☐  </w:t>
      </w:r>
      <w:r>
        <w:t>Duschanschluss fertig.</w:t>
      </w:r>
    </w:p>
    <w:p>
      <w:pPr>
        <w:spacing w:after="120"/>
      </w:pPr>
      <w:r>
        <w:rPr>
          <w:sz w:val="24"/>
        </w:rPr>
        <w:t xml:space="preserve">☐  </w:t>
      </w:r>
      <w:r>
        <w:t>Geruchverschluss, Ablauf und Verbindungen zugänglich.</w:t>
      </w:r>
    </w:p>
    <w:p>
      <w:pPr>
        <w:spacing w:after="120"/>
      </w:pPr>
      <w:r>
        <w:rPr>
          <w:sz w:val="24"/>
        </w:rPr>
        <w:t xml:space="preserve">☐  </w:t>
      </w:r>
      <w:r>
        <w:t>Lüftung funktionsfähig, mit Nachlauf.</w:t>
      </w: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Küche</w:t>
      </w:r>
    </w:p>
    <w:p>
      <w:pPr>
        <w:spacing w:after="120"/>
      </w:pPr>
      <w:r>
        <w:rPr>
          <w:sz w:val="24"/>
        </w:rPr>
        <w:t xml:space="preserve">☐  </w:t>
      </w:r>
      <w:r>
        <w:t>Unter- und Oberschränke mechanisch befestigt.</w:t>
      </w:r>
    </w:p>
    <w:p>
      <w:pPr>
        <w:spacing w:after="120"/>
      </w:pPr>
      <w:r>
        <w:rPr>
          <w:sz w:val="24"/>
        </w:rPr>
        <w:t xml:space="preserve">☐  </w:t>
      </w:r>
      <w:r>
        <w:t>Arbeitsplatte befestigt.</w:t>
      </w:r>
    </w:p>
    <w:p>
      <w:pPr>
        <w:spacing w:after="120"/>
      </w:pPr>
      <w:r>
        <w:rPr>
          <w:sz w:val="24"/>
        </w:rPr>
        <w:t xml:space="preserve">☐  </w:t>
      </w:r>
      <w:r>
        <w:t>Absperrungen ohne Demontage zugänglich.</w:t>
      </w:r>
    </w:p>
    <w:p>
      <w:pPr>
        <w:spacing w:after="120"/>
      </w:pPr>
      <w:r>
        <w:rPr>
          <w:sz w:val="24"/>
        </w:rPr>
        <w:t xml:space="preserve">☐  </w:t>
      </w:r>
      <w:r>
        <w:t>Geruchverschluss zugänglich.</w:t>
      </w:r>
    </w:p>
    <w:p>
      <w:pPr>
        <w:spacing w:after="120"/>
      </w:pPr>
      <w:r>
        <w:rPr>
          <w:sz w:val="24"/>
        </w:rPr>
        <w:t xml:space="preserve">☐  </w:t>
      </w:r>
      <w:r>
        <w:t>Geräte nach Herstellervorgabe belüftet.</w:t>
      </w:r>
    </w:p>
    <w:p>
      <w:pPr>
        <w:spacing w:after="120"/>
      </w:pPr>
      <w:r>
        <w:rPr>
          <w:sz w:val="24"/>
        </w:rPr>
        <w:t xml:space="preserve">☐  </w:t>
      </w:r>
      <w:r>
        <w:t>Türen und Schubladen für den Transport sicherbar.</w:t>
      </w:r>
    </w:p>
    <w:p>
      <w:pPr>
        <w:spacing w:before="280" w:after="120"/>
      </w:pPr>
      <w:r>
        <w:rPr>
          <w:b/>
          <w:color w:val="1A3C2A"/>
          <w:sz w:val="23"/>
        </w:rPr>
        <w:t>Gewicht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Gewicht vor dem Innenausbau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Hinzugefügtes Gewicht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Aktuelles Gewicht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Noch zu montierende Ausstattung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Vorgesehenes Endgewicht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Verbleibende Reserve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rPr>
          <w:b/>
          <w:color w:val="1A3C2A"/>
        </w:rPr>
        <w:t>Ist die verbleibende Reserve negativ oder kleiner als das Gewicht der fehlenden Ausstattung, stoppen Sie die Bestellungen und überarbeiten Sie das Budget THS-14E.</w:t>
      </w:r>
    </w:p>
    <w:p>
      <w:pPr>
        <w:spacing w:before="280" w:after="120"/>
      </w:pPr>
      <w:r>
        <w:rPr>
          <w:b/>
          <w:color w:val="1A3C2A"/>
          <w:sz w:val="23"/>
        </w:rPr>
        <w:t>Auffälligkeiten und Korrekturen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Auffälligkeit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Los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Korrektur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Freigegeben am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after="40"/>
      </w:pPr>
      <w:r>
        <w:rPr>
          <w:color w:val="716E67"/>
          <w:sz w:val="17"/>
        </w:rPr>
        <w:t>Datum der Kontrolle, und ausführende Person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Freigabe für die Abnahme: ja / nein</w:t>
      </w:r>
    </w:p>
    <w:p>
      <w:pPr>
        <w:spacing w:after="200" w:before="160"/>
        <w:pBdr>
          <w:bottom w:val="single" w:sz="4" w:space="1" w:color="D5D2CA"/>
        </w:pBdr>
      </w:pPr>
    </w:p>
    <w:p>
      <w:r>
        <w:rPr>
          <w:b/>
          <w:color w:val="1A3C2A"/>
        </w:rPr>
        <w:t>Hier nicht korrigierte Auffälligkeiten werden in Kapitel 15 zu Mängeln, Blatt THS-15B. Besser jetzt behandeln, solange der Zugang noch besteht.</w:t>
      </w: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THS-14F · Kontrolle vor der Abnahme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THS-14F    </w:t>
    </w:r>
    <w:r>
      <w:rPr>
        <w:color w:val="716E67"/>
        <w:sz w:val="16"/>
      </w:rPr>
      <w:t>Kapitel 14 — Der Innenausbau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