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avant la réception</w:t>
      </w:r>
    </w:p>
    <w:p>
      <w:r>
        <w:rPr>
          <w:color w:val="716E67"/>
          <w:sz w:val="20"/>
        </w:rPr>
        <w:t>Le chapitre 15 mesure ce qui est fini, pas ce qui est prévu</w:t>
      </w:r>
    </w:p>
    <w:p>
      <w:r>
        <w:t>Cette fiche se remplit avant d’ouvrir le chapitre 15. Tant qu’une ligne reste « à terminer plus tard », la réception n’a pas de sens.</w:t>
      </w:r>
    </w:p>
    <w:p>
      <w:pPr>
        <w:spacing w:before="280" w:after="120"/>
      </w:pPr>
      <w:r>
        <w:rPr>
          <w:b/>
          <w:color w:val="1A3C2A"/>
          <w:sz w:val="23"/>
        </w:rPr>
        <w:t>Général</w:t>
      </w:r>
    </w:p>
    <w:p>
      <w:pPr>
        <w:spacing w:after="120"/>
      </w:pPr>
      <w:r>
        <w:rPr>
          <w:sz w:val="24"/>
        </w:rPr>
        <w:t xml:space="preserve">☐  </w:t>
      </w:r>
      <w:r>
        <w:t>Tous les réseaux ont été validés avant fermeture.</w:t>
      </w:r>
    </w:p>
    <w:p>
      <w:pPr>
        <w:spacing w:after="120"/>
      </w:pPr>
      <w:r>
        <w:rPr>
          <w:sz w:val="24"/>
        </w:rPr>
        <w:t xml:space="preserve">☐  </w:t>
      </w:r>
      <w:r>
        <w:t>Photos des réseaux archivées, avec un mètre visible.</w:t>
      </w:r>
    </w:p>
    <w:p>
      <w:pPr>
        <w:spacing w:after="120"/>
      </w:pPr>
      <w:r>
        <w:rPr>
          <w:sz w:val="24"/>
        </w:rPr>
        <w:t xml:space="preserve">☐  </w:t>
      </w:r>
      <w:r>
        <w:t>Renforts repérés et photographiés, fiche THS-14B.</w:t>
      </w:r>
    </w:p>
    <w:p>
      <w:pPr>
        <w:spacing w:before="280" w:after="120"/>
      </w:pPr>
      <w:r>
        <w:rPr>
          <w:b/>
          <w:color w:val="1A3C2A"/>
          <w:sz w:val="23"/>
        </w:rPr>
        <w:t>Parements et cloisons</w:t>
      </w:r>
    </w:p>
    <w:p>
      <w:pPr>
        <w:spacing w:after="120"/>
      </w:pPr>
      <w:r>
        <w:rPr>
          <w:sz w:val="24"/>
        </w:rPr>
        <w:t xml:space="preserve">☐  </w:t>
      </w:r>
      <w:r>
        <w:t>Fixations terminées.</w:t>
      </w:r>
    </w:p>
    <w:p>
      <w:pPr>
        <w:spacing w:after="120"/>
      </w:pPr>
      <w:r>
        <w:rPr>
          <w:sz w:val="24"/>
        </w:rPr>
        <w:t xml:space="preserve">☐  </w:t>
      </w:r>
      <w:r>
        <w:t>Jeux périphériques et d’acclimatation respectés.</w:t>
      </w:r>
    </w:p>
    <w:p>
      <w:pPr>
        <w:spacing w:after="120"/>
      </w:pPr>
      <w:r>
        <w:rPr>
          <w:sz w:val="24"/>
        </w:rPr>
        <w:t xml:space="preserve">☐  </w:t>
      </w:r>
      <w:r>
        <w:t>Portes fonctionnelles, sans frottement.</w:t>
      </w:r>
    </w:p>
    <w:p>
      <w:pPr>
        <w:spacing w:after="120"/>
      </w:pPr>
      <w:r>
        <w:rPr>
          <w:sz w:val="24"/>
        </w:rPr>
        <w:t xml:space="preserve">☐  </w:t>
      </w:r>
      <w:r>
        <w:t>Zones techniques restées accessibles.</w:t>
      </w:r>
    </w:p>
    <w:p>
      <w:pPr>
        <w:spacing w:before="280" w:after="120"/>
      </w:pPr>
      <w:r>
        <w:rPr>
          <w:b/>
          <w:color w:val="1A3C2A"/>
          <w:sz w:val="23"/>
        </w:rPr>
        <w:t>Sol</w:t>
      </w:r>
    </w:p>
    <w:p>
      <w:pPr>
        <w:spacing w:after="120"/>
      </w:pPr>
      <w:r>
        <w:rPr>
          <w:sz w:val="24"/>
        </w:rPr>
        <w:t xml:space="preserve">☐  </w:t>
      </w:r>
      <w:r>
        <w:t>Support vérifié : planeité, rigidité, humidité.</w:t>
      </w:r>
    </w:p>
    <w:p>
      <w:pPr>
        <w:spacing w:after="120"/>
      </w:pPr>
      <w:r>
        <w:rPr>
          <w:sz w:val="24"/>
        </w:rPr>
        <w:t xml:space="preserve">☐  </w:t>
      </w:r>
      <w:r>
        <w:t>Revêtement compatible avec le support et l’usage.</w:t>
      </w:r>
    </w:p>
    <w:p>
      <w:pPr>
        <w:spacing w:after="120"/>
      </w:pPr>
      <w:r>
        <w:rPr>
          <w:sz w:val="24"/>
        </w:rPr>
        <w:t xml:space="preserve">☐  </w:t>
      </w:r>
      <w:r>
        <w:t>Jeux périphériques respectés.</w:t>
      </w:r>
    </w:p>
    <w:p>
      <w:pPr>
        <w:spacing w:after="120"/>
      </w:pPr>
      <w:r>
        <w:rPr>
          <w:sz w:val="24"/>
        </w:rPr>
        <w:t xml:space="preserve">☐  </w:t>
      </w:r>
      <w:r>
        <w:t>Sol non bloqué sous les meubles fixes, si le fabricant l’interdit.</w:t>
      </w:r>
    </w:p>
    <w:p>
      <w:pPr>
        <w:spacing w:after="120"/>
      </w:pPr>
      <w:r>
        <w:rPr>
          <w:sz w:val="24"/>
        </w:rPr>
        <w:t xml:space="preserve">☐  </w:t>
      </w:r>
      <w:r>
        <w:t>Seuils terminés.</w:t>
      </w:r>
    </w:p>
    <w:p>
      <w:pPr>
        <w:spacing w:before="280" w:after="120"/>
      </w:pPr>
      <w:r>
        <w:rPr>
          <w:b/>
          <w:color w:val="1A3C2A"/>
          <w:sz w:val="23"/>
        </w:rPr>
        <w:t>Salle d’eau</w:t>
      </w:r>
    </w:p>
    <w:p>
      <w:pPr>
        <w:spacing w:after="120"/>
      </w:pPr>
      <w:r>
        <w:rPr>
          <w:sz w:val="24"/>
        </w:rPr>
        <w:t xml:space="preserve">☐  </w:t>
      </w:r>
      <w:r>
        <w:t>Système d’étanchéité terminé, fiche THS-14C remplie.</w:t>
      </w:r>
    </w:p>
    <w:p>
      <w:pPr>
        <w:spacing w:after="120"/>
      </w:pPr>
      <w:r>
        <w:rPr>
          <w:sz w:val="24"/>
        </w:rPr>
        <w:t xml:space="preserve">☐  </w:t>
      </w:r>
      <w:r>
        <w:t>Angles traités avec le détail du système.</w:t>
      </w:r>
    </w:p>
    <w:p>
      <w:pPr>
        <w:spacing w:after="120"/>
      </w:pPr>
      <w:r>
        <w:rPr>
          <w:sz w:val="24"/>
        </w:rPr>
        <w:t xml:space="preserve">☐  </w:t>
      </w:r>
      <w:r>
        <w:t>Traversées étanchées, une par une.</w:t>
      </w:r>
    </w:p>
    <w:p>
      <w:pPr>
        <w:spacing w:after="120"/>
      </w:pPr>
      <w:r>
        <w:rPr>
          <w:sz w:val="24"/>
        </w:rPr>
        <w:t xml:space="preserve">☐  </w:t>
      </w:r>
      <w:r>
        <w:t>Raccord de douche terminé.</w:t>
      </w:r>
    </w:p>
    <w:p>
      <w:pPr>
        <w:spacing w:after="120"/>
      </w:pPr>
      <w:r>
        <w:rPr>
          <w:sz w:val="24"/>
        </w:rPr>
        <w:t xml:space="preserve">☐  </w:t>
      </w:r>
      <w:r>
        <w:t>Siphon, bonde et raccords accessibles.</w:t>
      </w:r>
    </w:p>
    <w:p>
      <w:pPr>
        <w:spacing w:after="120"/>
      </w:pPr>
      <w:r>
        <w:rPr>
          <w:sz w:val="24"/>
        </w:rPr>
        <w:t xml:space="preserve">☐  </w:t>
      </w:r>
      <w:r>
        <w:t>Ventilation fonctionnelle, avec temporisation.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Cuisine</w:t>
      </w:r>
    </w:p>
    <w:p>
      <w:pPr>
        <w:spacing w:after="120"/>
      </w:pPr>
      <w:r>
        <w:rPr>
          <w:sz w:val="24"/>
        </w:rPr>
        <w:t xml:space="preserve">☐  </w:t>
      </w:r>
      <w:r>
        <w:t>Meubles bas et hauts fixés mécaniquement.</w:t>
      </w:r>
    </w:p>
    <w:p>
      <w:pPr>
        <w:spacing w:after="120"/>
      </w:pPr>
      <w:r>
        <w:rPr>
          <w:sz w:val="24"/>
        </w:rPr>
        <w:t xml:space="preserve">☐  </w:t>
      </w:r>
      <w:r>
        <w:t>Plan de travail fixé.</w:t>
      </w:r>
    </w:p>
    <w:p>
      <w:pPr>
        <w:spacing w:after="120"/>
      </w:pPr>
      <w:r>
        <w:rPr>
          <w:sz w:val="24"/>
        </w:rPr>
        <w:t xml:space="preserve">☐  </w:t>
      </w:r>
      <w:r>
        <w:t>Vannes accessibles sans démontage.</w:t>
      </w:r>
    </w:p>
    <w:p>
      <w:pPr>
        <w:spacing w:after="120"/>
      </w:pPr>
      <w:r>
        <w:rPr>
          <w:sz w:val="24"/>
        </w:rPr>
        <w:t xml:space="preserve">☐  </w:t>
      </w:r>
      <w:r>
        <w:t>Siphon accessible.</w:t>
      </w:r>
    </w:p>
    <w:p>
      <w:pPr>
        <w:spacing w:after="120"/>
      </w:pPr>
      <w:r>
        <w:rPr>
          <w:sz w:val="24"/>
        </w:rPr>
        <w:t xml:space="preserve">☐  </w:t>
      </w:r>
      <w:r>
        <w:t>Appareils ventilés selon leur fabricant.</w:t>
      </w:r>
    </w:p>
    <w:p>
      <w:pPr>
        <w:spacing w:after="120"/>
      </w:pPr>
      <w:r>
        <w:rPr>
          <w:sz w:val="24"/>
        </w:rPr>
        <w:t xml:space="preserve">☐  </w:t>
      </w:r>
      <w:r>
        <w:t>Portes et tiroirs sécurisables pour le transport.</w:t>
      </w:r>
    </w:p>
    <w:p>
      <w:pPr>
        <w:spacing w:before="280" w:after="120"/>
      </w:pPr>
      <w:r>
        <w:rPr>
          <w:b/>
          <w:color w:val="1A3C2A"/>
          <w:sz w:val="23"/>
        </w:rPr>
        <w:t>Poids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avant second œuvre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ajouté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actuel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Équipements restant à poser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final prévu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restante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Si la marge restante est négative ou inférieure à ce que pèsent les équipements restants, arrêtez les commandes et reprenez le budget THS-14E.</w:t>
      </w:r>
    </w:p>
    <w:p>
      <w:pPr>
        <w:spacing w:before="280" w:after="120"/>
      </w:pPr>
      <w:r>
        <w:rPr>
          <w:b/>
          <w:color w:val="1A3C2A"/>
          <w:sz w:val="23"/>
        </w:rPr>
        <w:t>Anomalies et corrections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Anomalie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Correction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Validée le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Date du contrôle, et personne qui le réalise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Accord pour passer à la réception : oui / non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Les anomalies non corrigées à ce stade deviennent des réserves au chapitre 15, fiche THS-15B. Autant les traiter maintenant, pendant que l’accès existe encore.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THS-14F · Contrôle avant la réception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THS-14F    </w:t>
    </w:r>
    <w:r>
      <w:rPr>
        <w:color w:val="716E67"/>
        <w:sz w:val="16"/>
      </w:rPr>
      <w:t>Chapitre 14 — Le second œuvre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