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Dossier technique</w:t>
      </w:r>
    </w:p>
    <w:p>
      <w:r>
        <w:rPr>
          <w:color w:val="716E67"/>
          <w:sz w:val="20"/>
        </w:rPr>
        <w:t>Le document qui vaudra plus que votre mémoire</w:t>
      </w:r>
    </w:p>
    <w:p>
      <w:r>
        <w:t>Ce sommaire se coche, puis se range en première page du dossier. Il reste avec la maison : dans cinq ans, lors d’un entretien, d’une modification ou d’une revente, il aura plus de valeur que des photos.</w:t>
      </w:r>
    </w:p>
    <w:p>
      <w:pPr>
        <w:spacing w:before="280" w:after="120"/>
      </w:pPr>
      <w:r>
        <w:rPr>
          <w:b/>
          <w:color w:val="1A3C2A"/>
          <w:sz w:val="23"/>
        </w:rPr>
        <w:t>Autorisations et plans</w:t>
      </w:r>
    </w:p>
    <w:p>
      <w:pPr>
        <w:spacing w:after="120"/>
      </w:pPr>
      <w:r>
        <w:rPr>
          <w:sz w:val="24"/>
        </w:rPr>
        <w:t xml:space="preserve">☐  </w:t>
      </w:r>
      <w:r>
        <w:t>Permis et autorisations obtenus.</w:t>
      </w:r>
    </w:p>
    <w:p>
      <w:pPr>
        <w:spacing w:after="120"/>
      </w:pPr>
      <w:r>
        <w:rPr>
          <w:sz w:val="24"/>
        </w:rPr>
        <w:t xml:space="preserve">☐  </w:t>
      </w:r>
      <w:r>
        <w:t>Plans finaux, tels que construits.</w:t>
      </w:r>
    </w:p>
    <w:p>
      <w:pPr>
        <w:spacing w:after="120"/>
      </w:pPr>
      <w:r>
        <w:rPr>
          <w:sz w:val="24"/>
        </w:rPr>
        <w:t xml:space="preserve">☐  </w:t>
      </w:r>
      <w:r>
        <w:t>Plans d’ossature et de solivage.</w:t>
      </w:r>
    </w:p>
    <w:p>
      <w:pPr>
        <w:spacing w:after="120"/>
      </w:pPr>
      <w:r>
        <w:rPr>
          <w:sz w:val="24"/>
        </w:rPr>
        <w:t xml:space="preserve">☐  </w:t>
      </w:r>
      <w:r>
        <w:t>Coupes de parois et de toiture.</w:t>
      </w:r>
    </w:p>
    <w:p>
      <w:pPr>
        <w:spacing w:before="280" w:after="120"/>
      </w:pPr>
      <w:r>
        <w:rPr>
          <w:b/>
          <w:color w:val="1A3C2A"/>
          <w:sz w:val="23"/>
        </w:rPr>
        <w:t>Remorque et poids</w:t>
      </w:r>
    </w:p>
    <w:p>
      <w:pPr>
        <w:spacing w:after="120"/>
      </w:pPr>
      <w:r>
        <w:rPr>
          <w:sz w:val="24"/>
        </w:rPr>
        <w:t xml:space="preserve">☐  </w:t>
      </w:r>
      <w:r>
        <w:t>Fiche technique de la remorque, THS-03B.</w:t>
      </w:r>
    </w:p>
    <w:p>
      <w:pPr>
        <w:spacing w:after="120"/>
      </w:pPr>
      <w:r>
        <w:rPr>
          <w:sz w:val="24"/>
        </w:rPr>
        <w:t xml:space="preserve">☐  </w:t>
      </w:r>
      <w:r>
        <w:t>Tableau des poids de chantier, THS-03A.</w:t>
      </w:r>
    </w:p>
    <w:p>
      <w:pPr>
        <w:spacing w:after="120"/>
      </w:pPr>
      <w:r>
        <w:rPr>
          <w:sz w:val="24"/>
        </w:rPr>
        <w:t xml:space="preserve">☐  </w:t>
      </w:r>
      <w:r>
        <w:t>Pesées finales et gabarit, THS-15E.</w:t>
      </w:r>
    </w:p>
    <w:p>
      <w:pPr>
        <w:spacing w:before="280" w:after="120"/>
      </w:pPr>
      <w:r>
        <w:rPr>
          <w:b/>
          <w:color w:val="1A3C2A"/>
          <w:sz w:val="23"/>
        </w:rPr>
        <w:t>Enveloppe</w:t>
      </w:r>
    </w:p>
    <w:p>
      <w:pPr>
        <w:spacing w:after="120"/>
      </w:pPr>
      <w:r>
        <w:rPr>
          <w:sz w:val="24"/>
        </w:rPr>
        <w:t xml:space="preserve">☐  </w:t>
      </w:r>
      <w:r>
        <w:t>Fiches techniques des isolants posés.</w:t>
      </w:r>
    </w:p>
    <w:p>
      <w:pPr>
        <w:spacing w:after="120"/>
      </w:pPr>
      <w:r>
        <w:rPr>
          <w:sz w:val="24"/>
        </w:rPr>
        <w:t xml:space="preserve">☐  </w:t>
      </w:r>
      <w:r>
        <w:t>Fiches techniques des membranes, pare-pluie et frein-vapeur.</w:t>
      </w:r>
    </w:p>
    <w:p>
      <w:pPr>
        <w:spacing w:after="120"/>
      </w:pPr>
      <w:r>
        <w:rPr>
          <w:sz w:val="24"/>
        </w:rPr>
        <w:t xml:space="preserve">☐  </w:t>
      </w:r>
      <w:r>
        <w:t>Fiches techniques des menuiseries, avec les réglages.</w:t>
      </w:r>
    </w:p>
    <w:p>
      <w:pPr>
        <w:spacing w:after="120"/>
      </w:pPr>
      <w:r>
        <w:rPr>
          <w:sz w:val="24"/>
        </w:rPr>
        <w:t xml:space="preserve">☐  </w:t>
      </w:r>
      <w:r>
        <w:t>Fiches techniques du bardage et de sa finition.</w:t>
      </w:r>
    </w:p>
    <w:p>
      <w:pPr>
        <w:spacing w:after="120"/>
      </w:pPr>
      <w:r>
        <w:rPr>
          <w:sz w:val="24"/>
        </w:rPr>
        <w:t xml:space="preserve">☐  </w:t>
      </w:r>
      <w:r>
        <w:t>Registre des traversées, THS-11C.</w:t>
      </w:r>
    </w:p>
    <w:p>
      <w:pPr>
        <w:spacing w:after="120"/>
      </w:pPr>
      <w:r>
        <w:rPr>
          <w:sz w:val="24"/>
        </w:rPr>
        <w:t xml:space="preserve">☐  </w:t>
      </w:r>
      <w:r>
        <w:t>Photos prises avant fermeture, avec un mètre dans l’image.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Installations techniques</w:t>
      </w:r>
    </w:p>
    <w:p>
      <w:pPr>
        <w:spacing w:after="120"/>
      </w:pPr>
      <w:r>
        <w:rPr>
          <w:sz w:val="24"/>
        </w:rPr>
        <w:t xml:space="preserve">☐  </w:t>
      </w:r>
      <w:r>
        <w:t>Plan électrique tel que réalisé, THS-12A.</w:t>
      </w:r>
    </w:p>
    <w:p>
      <w:pPr>
        <w:spacing w:after="120"/>
      </w:pPr>
      <w:r>
        <w:rPr>
          <w:sz w:val="24"/>
        </w:rPr>
        <w:t xml:space="preserve">☐  </w:t>
      </w:r>
      <w:r>
        <w:t>Documents électriques remis, dont le rapport de sécurité.</w:t>
      </w:r>
    </w:p>
    <w:p>
      <w:pPr>
        <w:spacing w:after="120"/>
      </w:pPr>
      <w:r>
        <w:rPr>
          <w:sz w:val="24"/>
        </w:rPr>
        <w:t xml:space="preserve">☐  </w:t>
      </w:r>
      <w:r>
        <w:t>Bilan des puissances, THS-12B.</w:t>
      </w:r>
    </w:p>
    <w:p>
      <w:pPr>
        <w:spacing w:after="120"/>
      </w:pPr>
      <w:r>
        <w:rPr>
          <w:sz w:val="24"/>
        </w:rPr>
        <w:t xml:space="preserve">☐  </w:t>
      </w:r>
      <w:r>
        <w:t>Plans de plomberie, alimentation et évacuation, THS-13A.</w:t>
      </w:r>
    </w:p>
    <w:p>
      <w:pPr>
        <w:spacing w:after="120"/>
      </w:pPr>
      <w:r>
        <w:rPr>
          <w:sz w:val="24"/>
        </w:rPr>
        <w:t xml:space="preserve">☐  </w:t>
      </w:r>
      <w:r>
        <w:t>Diamètres et pentes validés par le sanitaire, THS-13B.</w:t>
      </w:r>
    </w:p>
    <w:p>
      <w:pPr>
        <w:spacing w:after="120"/>
      </w:pPr>
      <w:r>
        <w:rPr>
          <w:sz w:val="24"/>
        </w:rPr>
        <w:t xml:space="preserve">☐  </w:t>
      </w:r>
      <w:r>
        <w:t>Interface avec le terrain, THS-13E.</w:t>
      </w:r>
    </w:p>
    <w:p>
      <w:pPr>
        <w:spacing w:after="120"/>
      </w:pPr>
      <w:r>
        <w:rPr>
          <w:sz w:val="24"/>
        </w:rPr>
        <w:t xml:space="preserve">☐  </w:t>
      </w:r>
      <w:r>
        <w:t>Références et notices de tous les appareils.</w:t>
      </w:r>
    </w:p>
    <w:p>
      <w:pPr>
        <w:spacing w:before="280" w:after="120"/>
      </w:pPr>
      <w:r>
        <w:rPr>
          <w:b/>
          <w:color w:val="1A3C2A"/>
          <w:sz w:val="23"/>
        </w:rPr>
        <w:t>Contrôles</w:t>
      </w:r>
    </w:p>
    <w:p>
      <w:pPr>
        <w:spacing w:after="120"/>
      </w:pPr>
      <w:r>
        <w:rPr>
          <w:sz w:val="24"/>
        </w:rPr>
        <w:t xml:space="preserve">☐  </w:t>
      </w:r>
      <w:r>
        <w:t>Rapport du test d’étanchéité à l’air, par volume et par m2 d’enveloppe.</w:t>
      </w:r>
    </w:p>
    <w:p>
      <w:pPr>
        <w:spacing w:after="120"/>
      </w:pPr>
      <w:r>
        <w:rPr>
          <w:sz w:val="24"/>
        </w:rPr>
        <w:t xml:space="preserve">☐  </w:t>
      </w:r>
      <w:r>
        <w:t>Clichés de thermographie et conditions de mesure, THS-15D.</w:t>
      </w:r>
    </w:p>
    <w:p>
      <w:pPr>
        <w:spacing w:after="120"/>
      </w:pPr>
      <w:r>
        <w:rPr>
          <w:sz w:val="24"/>
        </w:rPr>
        <w:t xml:space="preserve">☐  </w:t>
      </w:r>
      <w:r>
        <w:t>Procès-verbal de réception, THS-15A.</w:t>
      </w:r>
    </w:p>
    <w:p>
      <w:pPr>
        <w:spacing w:after="120"/>
      </w:pPr>
      <w:r>
        <w:rPr>
          <w:sz w:val="24"/>
        </w:rPr>
        <w:t xml:space="preserve">☐  </w:t>
      </w:r>
      <w:r>
        <w:t>Liste de réserves, avec les dates de levée, THS-15B.</w:t>
      </w:r>
    </w:p>
    <w:p>
      <w:pPr>
        <w:spacing w:before="280" w:after="120"/>
      </w:pPr>
      <w:r>
        <w:rPr>
          <w:b/>
          <w:color w:val="1A3C2A"/>
          <w:sz w:val="23"/>
        </w:rPr>
        <w:t>La page qui manque presque toujours</w:t>
      </w:r>
    </w:p>
    <w:p>
      <w:pPr>
        <w:spacing w:after="40"/>
      </w:pPr>
      <w:r>
        <w:rPr>
          <w:color w:val="716E67"/>
          <w:sz w:val="17"/>
        </w:rPr>
        <w:t>Modifications par rapport aux plans d’origine : première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Deuxième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Troisième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Quatrième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Cinquième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Rangement</w:t>
      </w:r>
    </w:p>
    <w:p>
      <w:pPr>
        <w:spacing w:after="40"/>
      </w:pPr>
      <w:r>
        <w:rPr>
          <w:color w:val="716E67"/>
          <w:sz w:val="17"/>
        </w:rPr>
        <w:t>Dossier papier : où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Dossier numérique : chemin complet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Sauvegarde : où, et dernière date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Un dossier complet est la seule case de ce guide dont la valeur augmente avec le temps.</w:t>
      </w: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THS-15F · Dossier technique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THS-15F    </w:t>
    </w:r>
    <w:r>
      <w:rPr>
        <w:color w:val="716E67"/>
        <w:sz w:val="16"/>
      </w:rPr>
      <w:t>Chapitre 15 — Contrôler son travail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